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05AA" w14:textId="1F29D8B5" w:rsidR="0067589A" w:rsidRPr="0084233E" w:rsidRDefault="00BC433D" w:rsidP="00276E7F">
      <w:pPr>
        <w:spacing w:line="240" w:lineRule="auto"/>
        <w:jc w:val="center"/>
        <w:rPr>
          <w:rFonts w:ascii="Times New Roman" w:hAnsi="Times New Roman"/>
          <w:sz w:val="24"/>
          <w:szCs w:val="24"/>
          <w:lang w:val="en-ID"/>
        </w:rPr>
      </w:pPr>
      <w:r>
        <w:rPr>
          <w:noProof/>
          <w:lang w:val="id-ID" w:eastAsia="id-ID"/>
        </w:rPr>
        <w:drawing>
          <wp:anchor distT="0" distB="0" distL="114300" distR="114300" simplePos="0" relativeHeight="251660800" behindDoc="1" locked="0" layoutInCell="1" allowOverlap="1" wp14:anchorId="343D1B93" wp14:editId="4B11FC1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lang w:val="id-ID" w:eastAsia="id-ID"/>
        </w:rPr>
        <mc:AlternateContent>
          <mc:Choice Requires="wps">
            <w:drawing>
              <wp:anchor distT="0" distB="0" distL="114300" distR="114300" simplePos="0" relativeHeight="251657728" behindDoc="0" locked="0" layoutInCell="1" allowOverlap="1" wp14:anchorId="71DF6724" wp14:editId="724F98B7">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FB7CCD" w:rsidRPr="005E08E0" w:rsidRDefault="00FB7CCD"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FB7CCD" w:rsidRPr="005E08E0" w:rsidRDefault="006E5A63" w:rsidP="000D12FF">
                            <w:pPr>
                              <w:spacing w:after="0" w:line="240" w:lineRule="auto"/>
                              <w:jc w:val="center"/>
                              <w:rPr>
                                <w:rFonts w:ascii="Book Antiqua" w:hAnsi="Book Antiqua"/>
                                <w:i/>
                                <w:color w:val="C45911" w:themeColor="accent2" w:themeShade="BF"/>
                              </w:rPr>
                            </w:pPr>
                            <w:hyperlink r:id="rId10" w:history="1">
                              <w:r w:rsidR="00FB7CCD" w:rsidRPr="005E08E0">
                                <w:rPr>
                                  <w:rStyle w:val="Hyperlink"/>
                                  <w:rFonts w:ascii="Book Antiqua" w:hAnsi="Book Antiqua"/>
                                  <w:i/>
                                  <w:color w:val="C45911" w:themeColor="accent2" w:themeShade="BF"/>
                                </w:rPr>
                                <w:t>https://jurnalteknik.unisla.ac.id/index.php/CVL</w:t>
                              </w:r>
                            </w:hyperlink>
                          </w:p>
                          <w:p w14:paraId="059BFA2E" w14:textId="77777777" w:rsidR="00FB7CCD" w:rsidRPr="000D12FF" w:rsidRDefault="00FB7CCD" w:rsidP="000D12FF">
                            <w:pPr>
                              <w:spacing w:after="0" w:line="240" w:lineRule="auto"/>
                              <w:jc w:val="center"/>
                              <w:rPr>
                                <w:rFonts w:ascii="Book Antiqua" w:hAnsi="Book Antiqua"/>
                                <w:i/>
                                <w:sz w:val="16"/>
                                <w:szCs w:val="16"/>
                              </w:rPr>
                            </w:pPr>
                          </w:p>
                          <w:p w14:paraId="31F6405C" w14:textId="44AE572E" w:rsidR="00FB7CCD" w:rsidRPr="000D12FF" w:rsidRDefault="00FB7CCD" w:rsidP="000D12FF">
                            <w:pPr>
                              <w:spacing w:after="0" w:line="240" w:lineRule="auto"/>
                              <w:jc w:val="center"/>
                              <w:rPr>
                                <w:rFonts w:ascii="Book Antiqua" w:hAnsi="Book Antiqua"/>
                                <w:i/>
                              </w:rPr>
                            </w:pPr>
                            <w:r w:rsidRPr="000D12FF">
                              <w:rPr>
                                <w:rFonts w:ascii="Book Antiqua" w:hAnsi="Book Antiqua"/>
                                <w:i/>
                                <w:noProof/>
                                <w:lang w:val="id-ID" w:eastAsia="id-ID"/>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2"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FB7CCD" w:rsidRDefault="00FB7CCD"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DF6724" id="Rectangle 10" o:spid="_x0000_s1026" style="position:absolute;left:0;text-align:left;margin-left:103.95pt;margin-top:9.7pt;width:246.6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FB7CCD" w:rsidRPr="005E08E0" w:rsidRDefault="00FB7CCD"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FB7CCD" w:rsidRPr="005E08E0" w:rsidRDefault="00B87AEE" w:rsidP="000D12FF">
                      <w:pPr>
                        <w:spacing w:after="0" w:line="240" w:lineRule="auto"/>
                        <w:jc w:val="center"/>
                        <w:rPr>
                          <w:rFonts w:ascii="Book Antiqua" w:hAnsi="Book Antiqua"/>
                          <w:i/>
                          <w:color w:val="C45911" w:themeColor="accent2" w:themeShade="BF"/>
                        </w:rPr>
                      </w:pPr>
                      <w:hyperlink r:id="rId13" w:history="1">
                        <w:r w:rsidR="00FB7CCD" w:rsidRPr="005E08E0">
                          <w:rPr>
                            <w:rStyle w:val="Hyperlink"/>
                            <w:rFonts w:ascii="Book Antiqua" w:hAnsi="Book Antiqua"/>
                            <w:i/>
                            <w:color w:val="C45911" w:themeColor="accent2" w:themeShade="BF"/>
                          </w:rPr>
                          <w:t>https://jurnalteknik.unisla.ac.id/index.php/CVL</w:t>
                        </w:r>
                      </w:hyperlink>
                    </w:p>
                    <w:p w14:paraId="059BFA2E" w14:textId="77777777" w:rsidR="00FB7CCD" w:rsidRPr="000D12FF" w:rsidRDefault="00FB7CCD" w:rsidP="000D12FF">
                      <w:pPr>
                        <w:spacing w:after="0" w:line="240" w:lineRule="auto"/>
                        <w:jc w:val="center"/>
                        <w:rPr>
                          <w:rFonts w:ascii="Book Antiqua" w:hAnsi="Book Antiqua"/>
                          <w:i/>
                          <w:sz w:val="16"/>
                          <w:szCs w:val="16"/>
                        </w:rPr>
                      </w:pPr>
                    </w:p>
                    <w:p w14:paraId="31F6405C" w14:textId="44AE572E" w:rsidR="00FB7CCD" w:rsidRPr="000D12FF" w:rsidRDefault="00FB7CCD" w:rsidP="000D12FF">
                      <w:pPr>
                        <w:spacing w:after="0" w:line="240" w:lineRule="auto"/>
                        <w:jc w:val="center"/>
                        <w:rPr>
                          <w:rFonts w:ascii="Book Antiqua" w:hAnsi="Book Antiqua"/>
                          <w:i/>
                        </w:rPr>
                      </w:pPr>
                      <w:r w:rsidRPr="000D12FF">
                        <w:rPr>
                          <w:rFonts w:ascii="Book Antiqua" w:hAnsi="Book Antiqua"/>
                          <w:i/>
                          <w:noProof/>
                          <w:lang w:val="id-ID" w:eastAsia="id-ID"/>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5"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FB7CCD" w:rsidRDefault="00FB7CCD" w:rsidP="000D12FF">
                      <w:pPr>
                        <w:spacing w:after="0" w:line="240" w:lineRule="auto"/>
                        <w:jc w:val="center"/>
                      </w:pPr>
                    </w:p>
                  </w:txbxContent>
                </v:textbox>
              </v:rect>
            </w:pict>
          </mc:Fallback>
        </mc:AlternateContent>
      </w:r>
      <w:r w:rsidR="000D12FF">
        <w:rPr>
          <w:noProof/>
          <w:lang w:val="id-ID" w:eastAsia="id-ID"/>
        </w:rPr>
        <mc:AlternateContent>
          <mc:Choice Requires="wps">
            <w:drawing>
              <wp:anchor distT="0" distB="0" distL="114300" distR="114300" simplePos="0" relativeHeight="251654656" behindDoc="0" locked="0" layoutInCell="1" allowOverlap="1" wp14:anchorId="32859D8A" wp14:editId="279E249D">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A758703"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">
                <o:lock v:ext="edit" shapetype="f"/>
              </v:shape>
            </w:pict>
          </mc:Fallback>
        </mc:AlternateContent>
      </w:r>
    </w:p>
    <w:p w14:paraId="72850E1E" w14:textId="5015350D" w:rsidR="000C03B2" w:rsidRPr="0084233E" w:rsidRDefault="000C03B2" w:rsidP="00012A68">
      <w:pPr>
        <w:pStyle w:val="Judul"/>
        <w:spacing w:line="276" w:lineRule="auto"/>
        <w:rPr>
          <w:rFonts w:ascii="Times New Roman" w:hAnsi="Times New Roman" w:cs="Times New Roman"/>
          <w:sz w:val="24"/>
          <w:szCs w:val="24"/>
          <w:lang w:val="id-ID"/>
        </w:rPr>
      </w:pPr>
    </w:p>
    <w:p w14:paraId="1D0626F5" w14:textId="263A8F06" w:rsidR="0067589A" w:rsidRDefault="0067589A" w:rsidP="00152594">
      <w:pPr>
        <w:spacing w:after="0" w:line="240" w:lineRule="auto"/>
        <w:jc w:val="right"/>
        <w:rPr>
          <w:rFonts w:ascii="Times New Roman" w:hAnsi="Times New Roman"/>
          <w:b/>
          <w:sz w:val="24"/>
          <w:szCs w:val="24"/>
          <w:lang w:val="en-ID"/>
        </w:rPr>
      </w:pPr>
    </w:p>
    <w:p w14:paraId="2F8D9559" w14:textId="65A74BB3" w:rsidR="00152594" w:rsidRDefault="00152594" w:rsidP="00152594">
      <w:pPr>
        <w:spacing w:after="0" w:line="240" w:lineRule="auto"/>
        <w:jc w:val="right"/>
        <w:rPr>
          <w:rFonts w:ascii="Times New Roman" w:hAnsi="Times New Roman"/>
          <w:b/>
          <w:sz w:val="24"/>
          <w:szCs w:val="24"/>
          <w:lang w:val="en-ID"/>
        </w:rPr>
      </w:pPr>
    </w:p>
    <w:p w14:paraId="5E100018" w14:textId="77777777" w:rsidR="00152594" w:rsidRPr="0084233E" w:rsidRDefault="00152594" w:rsidP="00152594">
      <w:pPr>
        <w:spacing w:after="0" w:line="240" w:lineRule="auto"/>
        <w:jc w:val="right"/>
        <w:rPr>
          <w:rFonts w:ascii="Times New Roman" w:hAnsi="Times New Roman"/>
          <w:b/>
          <w:sz w:val="24"/>
          <w:szCs w:val="24"/>
          <w:lang w:val="en-ID"/>
        </w:rPr>
      </w:pPr>
    </w:p>
    <w:p w14:paraId="00740F91" w14:textId="16EE0E78" w:rsidR="00A24CC1" w:rsidRDefault="00A24CC1" w:rsidP="00AE69D9">
      <w:pPr>
        <w:pStyle w:val="Penulis"/>
        <w:spacing w:after="0"/>
        <w:jc w:val="center"/>
        <w:rPr>
          <w:rFonts w:ascii="Times New Roman" w:hAnsi="Times New Roman" w:cs="Times New Roman"/>
          <w:b/>
          <w:i w:val="0"/>
          <w:lang w:val="en-ID"/>
        </w:rPr>
      </w:pPr>
    </w:p>
    <w:p w14:paraId="739316F6" w14:textId="43697994" w:rsidR="00AE69D9" w:rsidRPr="00AE69D9" w:rsidRDefault="00BC7369" w:rsidP="00AE69D9">
      <w:pPr>
        <w:pStyle w:val="Penulis"/>
        <w:spacing w:after="0"/>
        <w:jc w:val="center"/>
        <w:rPr>
          <w:rFonts w:ascii="Times New Roman" w:hAnsi="Times New Roman" w:cs="Times New Roman"/>
          <w:b/>
          <w:i w:val="0"/>
          <w:sz w:val="22"/>
          <w:szCs w:val="28"/>
          <w:lang w:val="id-ID"/>
        </w:rPr>
      </w:pPr>
      <w:r>
        <w:rPr>
          <w:rFonts w:ascii="Times New Roman" w:hAnsi="Times New Roman" w:cs="Times New Roman"/>
          <w:b/>
          <w:i w:val="0"/>
          <w:noProof/>
          <w:sz w:val="28"/>
          <w:szCs w:val="28"/>
          <w:shd w:val="clear" w:color="auto" w:fill="auto"/>
          <w:lang w:val="id-ID" w:eastAsia="id-ID"/>
        </w:rPr>
        <mc:AlternateContent>
          <mc:Choice Requires="wps">
            <w:drawing>
              <wp:anchor distT="0" distB="0" distL="114300" distR="114300" simplePos="0" relativeHeight="251655680" behindDoc="0" locked="0" layoutInCell="1" allowOverlap="1" wp14:anchorId="1AE15608" wp14:editId="78EF50FB">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C019F6" id="AutoShape 41" o:spid="_x0000_s1026" type="#_x0000_t32" style="position:absolute;margin-left:-.35pt;margin-top:1.55pt;width:472.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" strokeweight="1.5pt">
                <o:lock v:ext="edit" shapetype="f"/>
              </v:shape>
            </w:pict>
          </mc:Fallback>
        </mc:AlternateContent>
      </w:r>
    </w:p>
    <w:p w14:paraId="57A2FA9B" w14:textId="51A7D8D1" w:rsidR="00AE69D9" w:rsidRPr="00AE69D9" w:rsidRDefault="00C73DA1" w:rsidP="00C73DA1">
      <w:pPr>
        <w:pStyle w:val="Penulis"/>
        <w:spacing w:after="240"/>
        <w:jc w:val="center"/>
        <w:rPr>
          <w:rFonts w:ascii="Times New Roman" w:hAnsi="Times New Roman" w:cs="Times New Roman"/>
          <w:b/>
          <w:i w:val="0"/>
          <w:sz w:val="22"/>
          <w:szCs w:val="28"/>
          <w:lang w:val="id-ID"/>
        </w:rPr>
      </w:pPr>
      <w:r>
        <w:rPr>
          <w:rFonts w:ascii="Times New Roman" w:hAnsi="Times New Roman" w:cs="Times New Roman"/>
          <w:b/>
          <w:i w:val="0"/>
          <w:sz w:val="28"/>
          <w:szCs w:val="28"/>
        </w:rPr>
        <w:t>T</w:t>
      </w:r>
      <w:r w:rsidRPr="00C73DA1">
        <w:rPr>
          <w:rFonts w:ascii="Times New Roman" w:hAnsi="Times New Roman" w:cs="Times New Roman"/>
          <w:b/>
          <w:i w:val="0"/>
          <w:sz w:val="28"/>
          <w:szCs w:val="28"/>
          <w:lang w:val="id-ID"/>
        </w:rPr>
        <w:t xml:space="preserve">he </w:t>
      </w:r>
      <w:r>
        <w:rPr>
          <w:rFonts w:ascii="Times New Roman" w:hAnsi="Times New Roman" w:cs="Times New Roman"/>
          <w:b/>
          <w:i w:val="0"/>
          <w:sz w:val="28"/>
          <w:szCs w:val="28"/>
        </w:rPr>
        <w:t>E</w:t>
      </w:r>
      <w:r w:rsidRPr="00C73DA1">
        <w:rPr>
          <w:rFonts w:ascii="Times New Roman" w:hAnsi="Times New Roman" w:cs="Times New Roman"/>
          <w:b/>
          <w:i w:val="0"/>
          <w:sz w:val="28"/>
          <w:szCs w:val="28"/>
          <w:lang w:val="id-ID"/>
        </w:rPr>
        <w:t xml:space="preserve">ffect of </w:t>
      </w:r>
      <w:r>
        <w:rPr>
          <w:rFonts w:ascii="Times New Roman" w:hAnsi="Times New Roman" w:cs="Times New Roman"/>
          <w:b/>
          <w:i w:val="0"/>
          <w:sz w:val="28"/>
          <w:szCs w:val="28"/>
        </w:rPr>
        <w:t>S</w:t>
      </w:r>
      <w:r w:rsidRPr="00C73DA1">
        <w:rPr>
          <w:rFonts w:ascii="Times New Roman" w:hAnsi="Times New Roman" w:cs="Times New Roman"/>
          <w:b/>
          <w:i w:val="0"/>
          <w:sz w:val="28"/>
          <w:szCs w:val="28"/>
          <w:lang w:val="id-ID"/>
        </w:rPr>
        <w:t xml:space="preserve">eawater on </w:t>
      </w:r>
      <w:r>
        <w:rPr>
          <w:rFonts w:ascii="Times New Roman" w:hAnsi="Times New Roman" w:cs="Times New Roman"/>
          <w:b/>
          <w:i w:val="0"/>
          <w:sz w:val="28"/>
          <w:szCs w:val="28"/>
        </w:rPr>
        <w:t>T</w:t>
      </w:r>
      <w:r w:rsidRPr="00C73DA1">
        <w:rPr>
          <w:rFonts w:ascii="Times New Roman" w:hAnsi="Times New Roman" w:cs="Times New Roman"/>
          <w:b/>
          <w:i w:val="0"/>
          <w:sz w:val="28"/>
          <w:szCs w:val="28"/>
          <w:lang w:val="id-ID"/>
        </w:rPr>
        <w:t>he Compressive Strength and Split Tensile Strength in Self Compacting Geopolymer Concrete</w:t>
      </w:r>
    </w:p>
    <w:p w14:paraId="0385037A" w14:textId="77777777" w:rsidR="00894E08" w:rsidRDefault="00894E08" w:rsidP="009F130D">
      <w:pPr>
        <w:pStyle w:val="Email"/>
        <w:jc w:val="center"/>
        <w:rPr>
          <w:rStyle w:val="Hyperlink"/>
          <w:rFonts w:ascii="Times New Roman" w:hAnsi="Times New Roman"/>
          <w:i w:val="0"/>
          <w:color w:val="auto"/>
          <w:sz w:val="22"/>
          <w:szCs w:val="22"/>
          <w:u w:val="none"/>
          <w:lang w:val="id-ID"/>
        </w:rPr>
      </w:pPr>
    </w:p>
    <w:p w14:paraId="375823C3" w14:textId="77777777" w:rsidR="00B97706" w:rsidRDefault="00B97706" w:rsidP="009F130D">
      <w:pPr>
        <w:pStyle w:val="Email"/>
        <w:jc w:val="center"/>
        <w:rPr>
          <w:rStyle w:val="Hyperlink"/>
          <w:rFonts w:ascii="Times New Roman" w:hAnsi="Times New Roman"/>
          <w:i w:val="0"/>
          <w:color w:val="auto"/>
          <w:sz w:val="22"/>
          <w:szCs w:val="22"/>
          <w:u w:val="none"/>
          <w:lang w:val="id-ID"/>
        </w:rPr>
      </w:pPr>
    </w:p>
    <w:p w14:paraId="4B60C808" w14:textId="77777777" w:rsidR="00B97706" w:rsidRPr="009F130D" w:rsidRDefault="00B97706" w:rsidP="009F130D">
      <w:pPr>
        <w:pStyle w:val="Email"/>
        <w:jc w:val="center"/>
        <w:rPr>
          <w:rStyle w:val="Hyperlink"/>
          <w:rFonts w:ascii="Times New Roman" w:hAnsi="Times New Roman"/>
          <w:i w:val="0"/>
          <w:color w:val="auto"/>
          <w:sz w:val="22"/>
          <w:szCs w:val="22"/>
          <w:u w:val="none"/>
          <w:lang w:val="id-ID"/>
        </w:rPr>
      </w:pPr>
      <w:bookmarkStart w:id="0" w:name="_GoBack"/>
      <w:bookmarkEnd w:id="0"/>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14:paraId="007F80A9" w14:textId="77777777" w:rsidTr="0013704F">
        <w:trPr>
          <w:trHeight w:val="421"/>
        </w:trPr>
        <w:tc>
          <w:tcPr>
            <w:tcW w:w="2940" w:type="dxa"/>
            <w:tcBorders>
              <w:top w:val="nil"/>
              <w:left w:val="nil"/>
              <w:bottom w:val="single" w:sz="4" w:space="0" w:color="auto"/>
              <w:right w:val="nil"/>
            </w:tcBorders>
            <w:vAlign w:val="center"/>
          </w:tcPr>
          <w:p w14:paraId="1F2B39ED" w14:textId="78E81B23"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vMerge w:val="restart"/>
            <w:tcBorders>
              <w:top w:val="nil"/>
              <w:left w:val="nil"/>
              <w:right w:val="nil"/>
            </w:tcBorders>
          </w:tcPr>
          <w:p w14:paraId="5859F27E" w14:textId="77777777"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14:paraId="0DB8AADC" w14:textId="1FC9833C"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r w:rsidR="00517687" w:rsidRPr="00840C2B" w14:paraId="5F53504C" w14:textId="77777777" w:rsidTr="0013704F">
        <w:trPr>
          <w:trHeight w:val="1136"/>
        </w:trPr>
        <w:tc>
          <w:tcPr>
            <w:tcW w:w="2940" w:type="dxa"/>
            <w:tcBorders>
              <w:top w:val="single" w:sz="4" w:space="0" w:color="auto"/>
              <w:left w:val="nil"/>
              <w:bottom w:val="single" w:sz="2" w:space="0" w:color="auto"/>
              <w:right w:val="nil"/>
            </w:tcBorders>
            <w:vAlign w:val="center"/>
          </w:tcPr>
          <w:p w14:paraId="3677727E" w14:textId="6E88EAE3"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Pr="00B34009">
              <w:rPr>
                <w:rFonts w:ascii="Times New Roman" w:hAnsi="Times New Roman"/>
                <w:i w:val="0"/>
                <w:sz w:val="20"/>
                <w:szCs w:val="22"/>
              </w:rPr>
              <w:t xml:space="preserve"> </w:t>
            </w:r>
            <w:r w:rsidR="00D46526">
              <w:rPr>
                <w:rFonts w:ascii="Times New Roman" w:hAnsi="Times New Roman"/>
                <w:i w:val="0"/>
                <w:sz w:val="20"/>
                <w:szCs w:val="22"/>
                <w:lang w:val="id-ID"/>
              </w:rPr>
              <w:t>H</w:t>
            </w:r>
            <w:proofErr w:type="spellStart"/>
            <w:r w:rsidR="00D46526">
              <w:rPr>
                <w:rFonts w:ascii="Times New Roman" w:hAnsi="Times New Roman"/>
                <w:i w:val="0"/>
                <w:sz w:val="20"/>
                <w:szCs w:val="22"/>
              </w:rPr>
              <w:t>istor</w:t>
            </w:r>
            <w:proofErr w:type="spellEnd"/>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14:paraId="1F700DDD" w14:textId="20CCF74C"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14:paraId="28D09E2B" w14:textId="4EBB342C"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14:paraId="6650AB04" w14:textId="08912FB3"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tcBorders>
              <w:left w:val="nil"/>
              <w:right w:val="nil"/>
            </w:tcBorders>
          </w:tcPr>
          <w:p w14:paraId="3FBD98A9" w14:textId="77777777"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14:paraId="0A5B566D" w14:textId="1A076323" w:rsidR="0059211D" w:rsidRPr="00B34009" w:rsidRDefault="007A49B2" w:rsidP="00B34009">
            <w:pPr>
              <w:pStyle w:val="Isiabstract"/>
              <w:spacing w:before="120"/>
              <w:rPr>
                <w:rFonts w:ascii="Times New Roman" w:hAnsi="Times New Roman"/>
                <w:i w:val="0"/>
                <w:color w:val="000000"/>
                <w:sz w:val="22"/>
                <w:szCs w:val="22"/>
              </w:rPr>
            </w:pPr>
            <w:r w:rsidRPr="007A49B2">
              <w:rPr>
                <w:rFonts w:ascii="Times New Roman" w:hAnsi="Times New Roman"/>
                <w:i w:val="0"/>
                <w:color w:val="000000"/>
                <w:sz w:val="22"/>
                <w:szCs w:val="22"/>
              </w:rPr>
              <w:t>Fly ash is a kind of trash that may degrade the quality of the air. As a result, it is critical that it be used as an ecologically beneficial material. Although cement is the most often used construction material, its manufacturing generates carbon dioxide, which may degrade air quality. The aim of this research was to evaluate the compressive strength and split tensile strength of self-compacting geopolymer concrete (SCGC) cured in seawater, as well as to compare SCGC with and without saltwater. In this research, a cylindrical specimen with a diameter of 10 cm and a height of 20 cm was utilized as the specimen. Fly ash is used in proportion to fine and coarse aggregates at a ratio of 1: 0.65: 1.5. Using a 0.4 activator to binder ratio. The molarity ranges utilized were 11 M, 12 M, 13 M, 14 M, and 15 M. Compressive strength and split tensile strength tests were conducted on 28-day-old concrete. The findings indicated that when the molarity of SCGC treated with seawater increased from 11 to 15 M, the compressive and split tensile strengths increased. Compressive strength values were greatest in SCGC treated at room temperature when an activator of 13 M was used, and compressive strength values dropped in SCGC treated at room temperature when an activator greater than 13 M was used.</w:t>
            </w:r>
          </w:p>
          <w:p w14:paraId="0073BB11" w14:textId="77777777" w:rsidR="00562DB8" w:rsidRDefault="00562DB8" w:rsidP="00037C90">
            <w:pPr>
              <w:pStyle w:val="Isiabstrak"/>
              <w:rPr>
                <w:rFonts w:ascii="Times New Roman" w:hAnsi="Times New Roman"/>
                <w:color w:val="000000"/>
                <w:sz w:val="22"/>
                <w:szCs w:val="22"/>
              </w:rPr>
            </w:pPr>
          </w:p>
          <w:p w14:paraId="1103F178" w14:textId="118C2F05" w:rsidR="00562DB8" w:rsidRPr="00582F12" w:rsidRDefault="00582F12" w:rsidP="00037C90">
            <w:pPr>
              <w:pStyle w:val="Isiabstrak"/>
              <w:rPr>
                <w:rFonts w:ascii="Times New Roman" w:hAnsi="Times New Roman"/>
                <w:color w:val="000000"/>
                <w:sz w:val="22"/>
                <w:szCs w:val="22"/>
                <w:lang w:val="id-ID"/>
              </w:rPr>
            </w:pPr>
            <w:r>
              <w:rPr>
                <w:rFonts w:ascii="Times New Roman" w:hAnsi="Times New Roman"/>
                <w:color w:val="000000"/>
                <w:sz w:val="22"/>
                <w:szCs w:val="22"/>
                <w:lang w:val="id-ID"/>
              </w:rPr>
              <w:t xml:space="preserve"> </w:t>
            </w:r>
          </w:p>
        </w:tc>
      </w:tr>
      <w:tr w:rsidR="00517687" w:rsidRPr="00840C2B" w14:paraId="7F9E5A67" w14:textId="77777777" w:rsidTr="0013704F">
        <w:trPr>
          <w:trHeight w:val="1782"/>
        </w:trPr>
        <w:tc>
          <w:tcPr>
            <w:tcW w:w="2940" w:type="dxa"/>
            <w:tcBorders>
              <w:top w:val="single" w:sz="2" w:space="0" w:color="auto"/>
              <w:left w:val="nil"/>
              <w:bottom w:val="single" w:sz="2" w:space="0" w:color="auto"/>
              <w:right w:val="nil"/>
            </w:tcBorders>
            <w:vAlign w:val="center"/>
          </w:tcPr>
          <w:p w14:paraId="1A3C6D4C" w14:textId="680F1B9E" w:rsidR="004B17DE" w:rsidRPr="00D46526" w:rsidRDefault="00D46526" w:rsidP="00D46526">
            <w:pPr>
              <w:pStyle w:val="Katakunci"/>
              <w:tabs>
                <w:tab w:val="left" w:pos="990"/>
              </w:tabs>
              <w:rPr>
                <w:rFonts w:ascii="Times New Roman" w:hAnsi="Times New Roman"/>
                <w:i w:val="0"/>
                <w:sz w:val="20"/>
                <w:szCs w:val="20"/>
                <w:lang w:val="id-ID"/>
              </w:rPr>
            </w:pPr>
            <w:r>
              <w:rPr>
                <w:rFonts w:ascii="Times New Roman" w:hAnsi="Times New Roman"/>
                <w:i w:val="0"/>
                <w:sz w:val="20"/>
                <w:szCs w:val="20"/>
              </w:rPr>
              <w:t>Keywords</w:t>
            </w:r>
            <w:r>
              <w:rPr>
                <w:rFonts w:ascii="Times New Roman" w:hAnsi="Times New Roman"/>
                <w:i w:val="0"/>
                <w:sz w:val="20"/>
                <w:szCs w:val="20"/>
                <w:lang w:val="id-ID"/>
              </w:rPr>
              <w:tab/>
            </w:r>
            <w:r>
              <w:rPr>
                <w:rFonts w:ascii="Times New Roman" w:hAnsi="Times New Roman"/>
                <w:i w:val="0"/>
                <w:sz w:val="20"/>
                <w:szCs w:val="20"/>
              </w:rPr>
              <w:t>:</w:t>
            </w:r>
          </w:p>
          <w:p w14:paraId="14BF5F53" w14:textId="7561BA90" w:rsidR="0039158F" w:rsidRDefault="008D4BEE" w:rsidP="00A92471">
            <w:pPr>
              <w:pStyle w:val="Isikeywords"/>
              <w:jc w:val="both"/>
              <w:rPr>
                <w:rFonts w:ascii="Times New Roman" w:hAnsi="Times New Roman"/>
                <w:i w:val="0"/>
                <w:sz w:val="20"/>
                <w:szCs w:val="20"/>
              </w:rPr>
            </w:pPr>
            <w:r>
              <w:rPr>
                <w:rFonts w:ascii="Times New Roman" w:hAnsi="Times New Roman"/>
                <w:i w:val="0"/>
                <w:sz w:val="20"/>
                <w:szCs w:val="20"/>
                <w:lang w:val="en-ID"/>
              </w:rPr>
              <w:t>4-</w:t>
            </w:r>
            <w:r w:rsidR="0035799E">
              <w:rPr>
                <w:rFonts w:ascii="Times New Roman" w:hAnsi="Times New Roman"/>
                <w:i w:val="0"/>
                <w:sz w:val="20"/>
                <w:szCs w:val="20"/>
                <w:lang w:val="en-ID"/>
              </w:rPr>
              <w:t>6</w:t>
            </w:r>
            <w:r w:rsidR="00A92471">
              <w:rPr>
                <w:rFonts w:ascii="Times New Roman" w:hAnsi="Times New Roman"/>
                <w:i w:val="0"/>
                <w:sz w:val="20"/>
                <w:szCs w:val="20"/>
                <w:lang w:val="en-ID"/>
              </w:rPr>
              <w:t xml:space="preserve"> </w:t>
            </w:r>
            <w:r w:rsidR="00A92471">
              <w:rPr>
                <w:rFonts w:ascii="Times New Roman" w:hAnsi="Times New Roman"/>
                <w:i w:val="0"/>
                <w:sz w:val="20"/>
                <w:szCs w:val="20"/>
              </w:rPr>
              <w:t>K</w:t>
            </w:r>
            <w:proofErr w:type="spellStart"/>
            <w:r w:rsidR="00C52C59" w:rsidRPr="00B34009">
              <w:rPr>
                <w:rFonts w:ascii="Times New Roman" w:hAnsi="Times New Roman"/>
                <w:i w:val="0"/>
                <w:sz w:val="20"/>
                <w:szCs w:val="20"/>
                <w:lang w:val="en-ID"/>
              </w:rPr>
              <w:t>eywords</w:t>
            </w:r>
            <w:proofErr w:type="spellEnd"/>
            <w:r w:rsidR="00A92471">
              <w:rPr>
                <w:rFonts w:ascii="Times New Roman" w:hAnsi="Times New Roman"/>
                <w:i w:val="0"/>
                <w:sz w:val="20"/>
                <w:szCs w:val="20"/>
              </w:rPr>
              <w:t>.</w:t>
            </w:r>
          </w:p>
          <w:p w14:paraId="71AD8D02" w14:textId="77777777" w:rsidR="00A92471" w:rsidRDefault="00A92471" w:rsidP="00A92471">
            <w:pPr>
              <w:pStyle w:val="Isikeywords"/>
              <w:jc w:val="both"/>
              <w:rPr>
                <w:rFonts w:ascii="Times New Roman" w:hAnsi="Times New Roman"/>
                <w:i w:val="0"/>
                <w:sz w:val="20"/>
                <w:szCs w:val="20"/>
              </w:rPr>
            </w:pPr>
          </w:p>
          <w:p w14:paraId="751BCFA6" w14:textId="77777777" w:rsidR="00A92471" w:rsidRPr="00BB6C7F" w:rsidRDefault="00A92471" w:rsidP="004B17DE">
            <w:pPr>
              <w:pStyle w:val="Isikeywords"/>
              <w:rPr>
                <w:rFonts w:ascii="Times New Roman" w:hAnsi="Times New Roman"/>
                <w:color w:val="00B0F0"/>
                <w:sz w:val="20"/>
                <w:szCs w:val="20"/>
              </w:rPr>
            </w:pPr>
            <w:r w:rsidRPr="00BB6C7F">
              <w:rPr>
                <w:rFonts w:ascii="Times New Roman" w:hAnsi="Times New Roman"/>
                <w:color w:val="00B0F0"/>
                <w:sz w:val="20"/>
                <w:szCs w:val="20"/>
              </w:rPr>
              <w:t xml:space="preserve">Ex : </w:t>
            </w:r>
          </w:p>
          <w:p w14:paraId="75CD0186" w14:textId="6DE07E1B" w:rsidR="00A92471" w:rsidRPr="00D46526" w:rsidRDefault="00A92471" w:rsidP="00D46526">
            <w:pPr>
              <w:pStyle w:val="Katakunci"/>
              <w:tabs>
                <w:tab w:val="left" w:pos="990"/>
              </w:tabs>
              <w:rPr>
                <w:rFonts w:ascii="Times New Roman" w:hAnsi="Times New Roman"/>
                <w:i w:val="0"/>
                <w:sz w:val="20"/>
                <w:szCs w:val="20"/>
              </w:rPr>
            </w:pPr>
            <w:r w:rsidRPr="00D46526">
              <w:rPr>
                <w:rFonts w:ascii="Times New Roman" w:hAnsi="Times New Roman"/>
                <w:i w:val="0"/>
                <w:sz w:val="20"/>
                <w:szCs w:val="20"/>
              </w:rPr>
              <w:t>Keywords</w:t>
            </w:r>
            <w:r w:rsidR="00D46526">
              <w:rPr>
                <w:rFonts w:ascii="Times New Roman" w:hAnsi="Times New Roman"/>
                <w:i w:val="0"/>
                <w:sz w:val="20"/>
                <w:szCs w:val="20"/>
                <w:lang w:val="id-ID"/>
              </w:rPr>
              <w:tab/>
            </w:r>
            <w:r w:rsidRPr="00D46526">
              <w:rPr>
                <w:rFonts w:ascii="Times New Roman" w:hAnsi="Times New Roman"/>
                <w:i w:val="0"/>
                <w:sz w:val="20"/>
                <w:szCs w:val="20"/>
              </w:rPr>
              <w:t>:</w:t>
            </w:r>
          </w:p>
          <w:p w14:paraId="1B39AF7D" w14:textId="66C74BB4" w:rsidR="00A92471" w:rsidRPr="00AB6CB1" w:rsidRDefault="006205F6" w:rsidP="00A92471">
            <w:pPr>
              <w:pStyle w:val="Isikeywords"/>
              <w:jc w:val="both"/>
              <w:rPr>
                <w:rFonts w:ascii="Times New Roman" w:hAnsi="Times New Roman"/>
                <w:i w:val="0"/>
                <w:sz w:val="18"/>
                <w:szCs w:val="20"/>
                <w:lang w:val="en-US"/>
              </w:rPr>
            </w:pPr>
            <w:r>
              <w:rPr>
                <w:rFonts w:ascii="Times New Roman" w:hAnsi="Times New Roman"/>
                <w:i w:val="0"/>
                <w:sz w:val="20"/>
                <w:szCs w:val="20"/>
                <w:lang w:val="en-US"/>
              </w:rPr>
              <w:t>SCGC</w:t>
            </w:r>
            <w:r w:rsidR="007B0B7A" w:rsidRPr="007B0B7A">
              <w:rPr>
                <w:rFonts w:ascii="Times New Roman" w:hAnsi="Times New Roman"/>
                <w:i w:val="0"/>
                <w:sz w:val="20"/>
                <w:szCs w:val="20"/>
                <w:lang w:val="en-US"/>
              </w:rPr>
              <w:t xml:space="preserve">, Fly Ash, </w:t>
            </w:r>
            <w:r w:rsidR="0077021E">
              <w:rPr>
                <w:rFonts w:ascii="Times New Roman" w:hAnsi="Times New Roman"/>
                <w:i w:val="0"/>
                <w:sz w:val="20"/>
                <w:szCs w:val="20"/>
                <w:lang w:val="en-US"/>
              </w:rPr>
              <w:t xml:space="preserve">Compressive </w:t>
            </w:r>
            <w:proofErr w:type="spellStart"/>
            <w:r w:rsidR="0077021E">
              <w:rPr>
                <w:rFonts w:ascii="Times New Roman" w:hAnsi="Times New Roman"/>
                <w:i w:val="0"/>
                <w:sz w:val="20"/>
                <w:szCs w:val="20"/>
                <w:lang w:val="en-US"/>
              </w:rPr>
              <w:t>Strenght</w:t>
            </w:r>
            <w:proofErr w:type="spellEnd"/>
            <w:r w:rsidR="007B0B7A" w:rsidRPr="007B0B7A">
              <w:rPr>
                <w:rFonts w:ascii="Times New Roman" w:hAnsi="Times New Roman"/>
                <w:i w:val="0"/>
                <w:sz w:val="20"/>
                <w:szCs w:val="20"/>
                <w:lang w:val="en-US"/>
              </w:rPr>
              <w:t xml:space="preserve">, </w:t>
            </w:r>
            <w:r w:rsidR="0077021E">
              <w:rPr>
                <w:rFonts w:ascii="Times New Roman" w:hAnsi="Times New Roman"/>
                <w:i w:val="0"/>
                <w:sz w:val="20"/>
                <w:szCs w:val="20"/>
                <w:lang w:val="en-US"/>
              </w:rPr>
              <w:t xml:space="preserve">Split </w:t>
            </w:r>
            <w:r>
              <w:rPr>
                <w:rFonts w:ascii="Times New Roman" w:hAnsi="Times New Roman"/>
                <w:i w:val="0"/>
                <w:sz w:val="20"/>
                <w:szCs w:val="20"/>
                <w:lang w:val="en-US"/>
              </w:rPr>
              <w:t xml:space="preserve">Tensile </w:t>
            </w:r>
            <w:proofErr w:type="spellStart"/>
            <w:r>
              <w:rPr>
                <w:rFonts w:ascii="Times New Roman" w:hAnsi="Times New Roman"/>
                <w:i w:val="0"/>
                <w:sz w:val="20"/>
                <w:szCs w:val="20"/>
                <w:lang w:val="en-US"/>
              </w:rPr>
              <w:t>Strenght</w:t>
            </w:r>
            <w:proofErr w:type="spellEnd"/>
            <w:r>
              <w:rPr>
                <w:rFonts w:ascii="Times New Roman" w:hAnsi="Times New Roman"/>
                <w:i w:val="0"/>
                <w:sz w:val="20"/>
                <w:szCs w:val="20"/>
                <w:lang w:val="en-US"/>
              </w:rPr>
              <w:t>, Sea water</w:t>
            </w:r>
          </w:p>
        </w:tc>
        <w:tc>
          <w:tcPr>
            <w:tcW w:w="284" w:type="dxa"/>
            <w:vMerge/>
            <w:tcBorders>
              <w:left w:val="nil"/>
              <w:right w:val="nil"/>
            </w:tcBorders>
          </w:tcPr>
          <w:p w14:paraId="0F0E0EB4" w14:textId="77777777"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2956BD06" w14:textId="77777777" w:rsidR="0039158F" w:rsidRPr="00840C2B" w:rsidRDefault="0039158F" w:rsidP="00102EFC">
            <w:pPr>
              <w:pStyle w:val="Isiabstract"/>
              <w:rPr>
                <w:rFonts w:ascii="Times New Roman" w:hAnsi="Times New Roman"/>
                <w:i w:val="0"/>
                <w:color w:val="000000"/>
                <w:sz w:val="22"/>
                <w:szCs w:val="22"/>
              </w:rPr>
            </w:pPr>
          </w:p>
        </w:tc>
      </w:tr>
      <w:tr w:rsidR="00517687" w:rsidRPr="00840C2B" w14:paraId="4A397DD7" w14:textId="77777777" w:rsidTr="00A92471">
        <w:trPr>
          <w:trHeight w:val="2078"/>
        </w:trPr>
        <w:tc>
          <w:tcPr>
            <w:tcW w:w="2940" w:type="dxa"/>
            <w:tcBorders>
              <w:top w:val="single" w:sz="2" w:space="0" w:color="auto"/>
              <w:left w:val="nil"/>
              <w:bottom w:val="single" w:sz="2" w:space="0" w:color="auto"/>
              <w:right w:val="nil"/>
            </w:tcBorders>
            <w:vAlign w:val="center"/>
          </w:tcPr>
          <w:p w14:paraId="78FF2FB4" w14:textId="66D364B6" w:rsidR="009F4887" w:rsidRPr="004B17DE" w:rsidRDefault="00103C90" w:rsidP="00E45C33">
            <w:pPr>
              <w:pStyle w:val="Sitasi"/>
              <w:jc w:val="both"/>
              <w:rPr>
                <w:rFonts w:ascii="Times New Roman" w:hAnsi="Times New Roman"/>
                <w:i w:val="0"/>
                <w:sz w:val="20"/>
                <w:szCs w:val="22"/>
              </w:rPr>
            </w:pPr>
            <w:r>
              <w:rPr>
                <w:rFonts w:ascii="Times New Roman" w:hAnsi="Times New Roman"/>
                <w:sz w:val="20"/>
                <w:szCs w:val="22"/>
              </w:rPr>
              <w:t>IEEE</w:t>
            </w:r>
            <w:r w:rsidR="009F4887" w:rsidRPr="004B17DE">
              <w:rPr>
                <w:rFonts w:ascii="Times New Roman" w:hAnsi="Times New Roman"/>
                <w:sz w:val="20"/>
                <w:szCs w:val="22"/>
              </w:rPr>
              <w:t xml:space="preserve"> </w:t>
            </w:r>
            <w:r w:rsidR="00E45C33" w:rsidRPr="004B17DE">
              <w:rPr>
                <w:rFonts w:ascii="Times New Roman" w:hAnsi="Times New Roman"/>
                <w:sz w:val="20"/>
                <w:szCs w:val="22"/>
              </w:rPr>
              <w:t xml:space="preserve">Style </w:t>
            </w:r>
            <w:r w:rsidR="00E45C33">
              <w:rPr>
                <w:rFonts w:ascii="Times New Roman" w:hAnsi="Times New Roman"/>
                <w:sz w:val="20"/>
                <w:szCs w:val="22"/>
                <w:lang w:val="id-ID"/>
              </w:rPr>
              <w:t xml:space="preserve">in citing this article </w:t>
            </w:r>
            <w:r w:rsidR="009F4887" w:rsidRPr="004B17DE">
              <w:rPr>
                <w:rFonts w:ascii="Times New Roman" w:hAnsi="Times New Roman"/>
                <w:sz w:val="20"/>
                <w:szCs w:val="22"/>
              </w:rPr>
              <w:t xml:space="preserve">: </w:t>
            </w:r>
            <w:r w:rsidR="009F4887" w:rsidRPr="004B17DE">
              <w:rPr>
                <w:rFonts w:ascii="Times New Roman" w:hAnsi="Times New Roman"/>
                <w:i w:val="0"/>
                <w:sz w:val="20"/>
                <w:szCs w:val="22"/>
              </w:rPr>
              <w:t>[</w:t>
            </w:r>
            <w:r w:rsidR="009F4887" w:rsidRPr="004B17DE">
              <w:rPr>
                <w:rFonts w:ascii="Times New Roman" w:hAnsi="Times New Roman"/>
                <w:sz w:val="20"/>
                <w:szCs w:val="22"/>
              </w:rPr>
              <w:t xml:space="preserve">Heading </w:t>
            </w:r>
            <w:r w:rsidR="00E45C33">
              <w:rPr>
                <w:rFonts w:ascii="Times New Roman" w:hAnsi="Times New Roman"/>
                <w:i w:val="0"/>
                <w:sz w:val="20"/>
                <w:szCs w:val="22"/>
                <w:lang w:val="id-ID"/>
              </w:rPr>
              <w:t>citation</w:t>
            </w:r>
            <w:r w:rsidR="009F4887" w:rsidRPr="004B17DE">
              <w:rPr>
                <w:rFonts w:ascii="Times New Roman" w:hAnsi="Times New Roman"/>
                <w:i w:val="0"/>
                <w:sz w:val="20"/>
                <w:szCs w:val="22"/>
              </w:rPr>
              <w:t>]</w:t>
            </w:r>
          </w:p>
          <w:p w14:paraId="1CE335FC" w14:textId="77777777" w:rsidR="00E45C33" w:rsidRDefault="00E45C33" w:rsidP="00E45C33">
            <w:pPr>
              <w:pStyle w:val="Isikeywords"/>
              <w:jc w:val="both"/>
              <w:rPr>
                <w:rFonts w:ascii="Times New Roman" w:hAnsi="Times New Roman"/>
                <w:sz w:val="20"/>
                <w:szCs w:val="22"/>
              </w:rPr>
            </w:pPr>
            <w:r>
              <w:rPr>
                <w:rFonts w:ascii="Times New Roman" w:hAnsi="Times New Roman"/>
                <w:sz w:val="20"/>
                <w:szCs w:val="22"/>
              </w:rPr>
              <w:t>One</w:t>
            </w:r>
            <w:r w:rsidR="009F4887" w:rsidRPr="004B17DE">
              <w:rPr>
                <w:rFonts w:ascii="Times New Roman" w:hAnsi="Times New Roman"/>
                <w:sz w:val="20"/>
                <w:szCs w:val="22"/>
              </w:rPr>
              <w:t xml:space="preserve">, N. P., &amp; </w:t>
            </w:r>
            <w:r>
              <w:rPr>
                <w:rFonts w:ascii="Times New Roman" w:hAnsi="Times New Roman"/>
                <w:sz w:val="20"/>
                <w:szCs w:val="22"/>
              </w:rPr>
              <w:t>Second</w:t>
            </w:r>
            <w:r w:rsidR="009F4887" w:rsidRPr="004B17DE">
              <w:rPr>
                <w:rFonts w:ascii="Times New Roman" w:hAnsi="Times New Roman"/>
                <w:sz w:val="20"/>
                <w:szCs w:val="22"/>
              </w:rPr>
              <w:t>, N. P. (</w:t>
            </w:r>
            <w:r>
              <w:rPr>
                <w:rFonts w:ascii="Times New Roman" w:hAnsi="Times New Roman"/>
                <w:sz w:val="20"/>
                <w:szCs w:val="22"/>
              </w:rPr>
              <w:t>Year</w:t>
            </w:r>
            <w:r w:rsidR="009F4887" w:rsidRPr="004B17DE">
              <w:rPr>
                <w:rFonts w:ascii="Times New Roman" w:hAnsi="Times New Roman"/>
                <w:sz w:val="20"/>
                <w:szCs w:val="22"/>
              </w:rPr>
              <w:t xml:space="preserve">). </w:t>
            </w:r>
            <w:r>
              <w:rPr>
                <w:rFonts w:ascii="Times New Roman" w:hAnsi="Times New Roman"/>
                <w:sz w:val="20"/>
                <w:szCs w:val="22"/>
              </w:rPr>
              <w:t>Article Title.</w:t>
            </w:r>
          </w:p>
          <w:p w14:paraId="70D60A31" w14:textId="2538CE07" w:rsidR="000E744E" w:rsidRPr="00840C2B" w:rsidRDefault="005E08E0" w:rsidP="00E45C33">
            <w:pPr>
              <w:pStyle w:val="Isikeywords"/>
              <w:jc w:val="both"/>
              <w:rPr>
                <w:rFonts w:ascii="Times New Roman" w:hAnsi="Times New Roman"/>
                <w:color w:val="000000"/>
                <w:sz w:val="22"/>
                <w:szCs w:val="22"/>
                <w:lang w:val="en-US"/>
              </w:rPr>
            </w:pPr>
            <w:r>
              <w:rPr>
                <w:rFonts w:ascii="Times New Roman" w:hAnsi="Times New Roman"/>
                <w:sz w:val="20"/>
                <w:szCs w:val="22"/>
              </w:rPr>
              <w:t>Civilla</w:t>
            </w:r>
            <w:r w:rsidR="0084233E" w:rsidRPr="004B17DE">
              <w:rPr>
                <w:rFonts w:ascii="Times New Roman" w:hAnsi="Times New Roman"/>
                <w:sz w:val="20"/>
                <w:szCs w:val="22"/>
                <w:lang w:val="en-ID"/>
              </w:rPr>
              <w:t xml:space="preserve"> : Universitas </w:t>
            </w:r>
            <w:r>
              <w:rPr>
                <w:rFonts w:ascii="Times New Roman" w:hAnsi="Times New Roman"/>
                <w:sz w:val="20"/>
                <w:szCs w:val="22"/>
              </w:rPr>
              <w:t>Islam Lamongan</w:t>
            </w:r>
            <w:r w:rsidR="009F4887" w:rsidRPr="004B17DE">
              <w:rPr>
                <w:rFonts w:ascii="Times New Roman" w:hAnsi="Times New Roman"/>
                <w:sz w:val="20"/>
                <w:szCs w:val="22"/>
              </w:rPr>
              <w:t xml:space="preserve">, v(n), </w:t>
            </w:r>
            <w:r w:rsidR="00E45C33">
              <w:rPr>
                <w:rFonts w:ascii="Times New Roman" w:hAnsi="Times New Roman"/>
                <w:sz w:val="20"/>
                <w:szCs w:val="22"/>
              </w:rPr>
              <w:t>Start page</w:t>
            </w:r>
            <w:r w:rsidR="009F4887" w:rsidRPr="004B17DE">
              <w:rPr>
                <w:rFonts w:ascii="Times New Roman" w:hAnsi="Times New Roman"/>
                <w:sz w:val="20"/>
                <w:szCs w:val="22"/>
              </w:rPr>
              <w:t xml:space="preserve"> </w:t>
            </w:r>
            <w:r w:rsidR="00E45C33">
              <w:rPr>
                <w:rFonts w:ascii="Times New Roman" w:hAnsi="Times New Roman"/>
                <w:sz w:val="20"/>
                <w:szCs w:val="22"/>
              </w:rPr>
              <w:t>– End page</w:t>
            </w:r>
            <w:r w:rsidR="009F4887" w:rsidRPr="004B17DE">
              <w:rPr>
                <w:rFonts w:ascii="Times New Roman" w:hAnsi="Times New Roman"/>
                <w:sz w:val="20"/>
                <w:szCs w:val="22"/>
              </w:rPr>
              <w:t>.</w:t>
            </w:r>
            <w:r w:rsidR="00E45C33">
              <w:rPr>
                <w:rFonts w:ascii="Times New Roman" w:hAnsi="Times New Roman"/>
                <w:sz w:val="20"/>
                <w:szCs w:val="22"/>
                <w:lang w:val="en-ID"/>
              </w:rPr>
              <w:t xml:space="preserve"> [heading </w:t>
            </w:r>
            <w:r w:rsidR="00E45C33">
              <w:rPr>
                <w:rFonts w:ascii="Times New Roman" w:hAnsi="Times New Roman"/>
                <w:sz w:val="20"/>
                <w:szCs w:val="22"/>
              </w:rPr>
              <w:t>citation contents</w:t>
            </w:r>
            <w:r w:rsidR="009F4887" w:rsidRPr="004B17DE">
              <w:rPr>
                <w:rFonts w:ascii="Times New Roman" w:hAnsi="Times New Roman"/>
                <w:sz w:val="20"/>
                <w:szCs w:val="22"/>
                <w:lang w:val="en-ID"/>
              </w:rPr>
              <w:t>]</w:t>
            </w:r>
          </w:p>
        </w:tc>
        <w:tc>
          <w:tcPr>
            <w:tcW w:w="284" w:type="dxa"/>
            <w:vMerge/>
            <w:tcBorders>
              <w:left w:val="nil"/>
              <w:right w:val="nil"/>
            </w:tcBorders>
          </w:tcPr>
          <w:p w14:paraId="5E51F91A" w14:textId="77777777"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09CE4BAA" w14:textId="77777777" w:rsidR="000E744E" w:rsidRPr="00840C2B" w:rsidRDefault="000E744E" w:rsidP="000E744E">
            <w:pPr>
              <w:pStyle w:val="Isiabstract"/>
              <w:rPr>
                <w:rFonts w:ascii="Times New Roman" w:hAnsi="Times New Roman"/>
                <w:i w:val="0"/>
                <w:color w:val="000000"/>
                <w:sz w:val="22"/>
                <w:szCs w:val="22"/>
              </w:rPr>
            </w:pPr>
          </w:p>
        </w:tc>
      </w:tr>
      <w:tr w:rsidR="00D568E2" w:rsidRPr="00840C2B" w14:paraId="53341F17" w14:textId="77777777" w:rsidTr="00D01E04">
        <w:trPr>
          <w:trHeight w:val="59"/>
        </w:trPr>
        <w:tc>
          <w:tcPr>
            <w:tcW w:w="9285" w:type="dxa"/>
            <w:gridSpan w:val="3"/>
            <w:tcBorders>
              <w:top w:val="nil"/>
              <w:left w:val="nil"/>
              <w:bottom w:val="single" w:sz="2" w:space="0" w:color="auto"/>
              <w:right w:val="nil"/>
            </w:tcBorders>
          </w:tcPr>
          <w:p w14:paraId="3650C220" w14:textId="77777777" w:rsidR="00D568E2" w:rsidRPr="00840C2B" w:rsidRDefault="00D568E2" w:rsidP="00D46526">
            <w:pPr>
              <w:pStyle w:val="Hakcipta"/>
              <w:jc w:val="left"/>
              <w:rPr>
                <w:rFonts w:ascii="Times New Roman" w:hAnsi="Times New Roman"/>
                <w:color w:val="000000"/>
                <w:sz w:val="22"/>
                <w:szCs w:val="22"/>
              </w:rPr>
            </w:pPr>
          </w:p>
        </w:tc>
      </w:tr>
    </w:tbl>
    <w:p w14:paraId="67AB5F97" w14:textId="736CE9E8" w:rsidR="00A92471" w:rsidRDefault="00A92471" w:rsidP="00D46526">
      <w:pPr>
        <w:pStyle w:val="ListParagraph"/>
        <w:spacing w:after="0" w:line="240" w:lineRule="auto"/>
        <w:ind w:left="0"/>
        <w:jc w:val="both"/>
        <w:rPr>
          <w:rFonts w:ascii="Times New Roman" w:hAnsi="Times New Roman"/>
          <w:b/>
          <w:sz w:val="24"/>
          <w:szCs w:val="24"/>
        </w:rPr>
      </w:pPr>
    </w:p>
    <w:p w14:paraId="34566F07" w14:textId="72EE4239" w:rsidR="00317771" w:rsidRDefault="00317771" w:rsidP="00D46526">
      <w:pPr>
        <w:pStyle w:val="ListParagraph"/>
        <w:spacing w:after="0" w:line="240" w:lineRule="auto"/>
        <w:ind w:left="0"/>
        <w:jc w:val="both"/>
        <w:rPr>
          <w:rFonts w:ascii="Times New Roman" w:hAnsi="Times New Roman"/>
          <w:b/>
          <w:sz w:val="24"/>
          <w:szCs w:val="24"/>
        </w:rPr>
      </w:pPr>
    </w:p>
    <w:p w14:paraId="396F6704" w14:textId="01CFC3EC" w:rsidR="00317771" w:rsidRDefault="00317771" w:rsidP="00D46526">
      <w:pPr>
        <w:pStyle w:val="ListParagraph"/>
        <w:spacing w:after="0" w:line="240" w:lineRule="auto"/>
        <w:ind w:left="0"/>
        <w:jc w:val="both"/>
        <w:rPr>
          <w:rFonts w:ascii="Times New Roman" w:hAnsi="Times New Roman"/>
          <w:b/>
          <w:sz w:val="24"/>
          <w:szCs w:val="24"/>
        </w:rPr>
      </w:pPr>
    </w:p>
    <w:p w14:paraId="1A9BE271" w14:textId="694ADB3F" w:rsidR="00317771" w:rsidRDefault="00317771" w:rsidP="00D46526">
      <w:pPr>
        <w:pStyle w:val="ListParagraph"/>
        <w:spacing w:after="0" w:line="240" w:lineRule="auto"/>
        <w:ind w:left="0"/>
        <w:jc w:val="both"/>
        <w:rPr>
          <w:rFonts w:ascii="Times New Roman" w:hAnsi="Times New Roman"/>
          <w:b/>
          <w:sz w:val="24"/>
          <w:szCs w:val="24"/>
        </w:rPr>
      </w:pPr>
    </w:p>
    <w:p w14:paraId="77C9FAB1" w14:textId="1AA34D57" w:rsidR="00317771" w:rsidRDefault="00317771" w:rsidP="00D46526">
      <w:pPr>
        <w:pStyle w:val="ListParagraph"/>
        <w:spacing w:after="0" w:line="240" w:lineRule="auto"/>
        <w:ind w:left="0"/>
        <w:jc w:val="both"/>
        <w:rPr>
          <w:rFonts w:ascii="Times New Roman" w:hAnsi="Times New Roman"/>
          <w:b/>
          <w:sz w:val="24"/>
          <w:szCs w:val="24"/>
        </w:rPr>
      </w:pPr>
    </w:p>
    <w:p w14:paraId="05DAD1F5" w14:textId="60E2879D" w:rsidR="00317771" w:rsidRDefault="00317771" w:rsidP="00D46526">
      <w:pPr>
        <w:pStyle w:val="ListParagraph"/>
        <w:spacing w:after="0" w:line="240" w:lineRule="auto"/>
        <w:ind w:left="0"/>
        <w:jc w:val="both"/>
        <w:rPr>
          <w:rFonts w:ascii="Times New Roman" w:hAnsi="Times New Roman"/>
          <w:b/>
          <w:sz w:val="24"/>
          <w:szCs w:val="24"/>
        </w:rPr>
      </w:pPr>
    </w:p>
    <w:p w14:paraId="05347CBD" w14:textId="77777777" w:rsidR="007142D6" w:rsidRDefault="007142D6" w:rsidP="00D46526">
      <w:pPr>
        <w:pStyle w:val="ListParagraph"/>
        <w:spacing w:after="0" w:line="240" w:lineRule="auto"/>
        <w:ind w:left="0"/>
        <w:jc w:val="both"/>
        <w:rPr>
          <w:rFonts w:ascii="Times New Roman" w:hAnsi="Times New Roman"/>
          <w:b/>
          <w:sz w:val="24"/>
          <w:szCs w:val="24"/>
        </w:rPr>
      </w:pPr>
    </w:p>
    <w:p w14:paraId="67F7E3B0" w14:textId="77777777" w:rsidR="00317771" w:rsidRDefault="00317771" w:rsidP="00D46526">
      <w:pPr>
        <w:pStyle w:val="ListParagraph"/>
        <w:spacing w:after="0" w:line="240" w:lineRule="auto"/>
        <w:ind w:left="0"/>
        <w:jc w:val="both"/>
        <w:rPr>
          <w:rFonts w:ascii="Times New Roman" w:hAnsi="Times New Roman"/>
          <w:b/>
          <w:sz w:val="24"/>
          <w:szCs w:val="24"/>
        </w:rPr>
      </w:pPr>
    </w:p>
    <w:tbl>
      <w:tblPr>
        <w:tblW w:w="9106" w:type="dxa"/>
        <w:tblInd w:w="-34" w:type="dxa"/>
        <w:tblBorders>
          <w:bottom w:val="single" w:sz="4" w:space="0" w:color="000000"/>
        </w:tblBorders>
        <w:tblLayout w:type="fixed"/>
        <w:tblLook w:val="0400" w:firstRow="0" w:lastRow="0" w:firstColumn="0" w:lastColumn="0" w:noHBand="0" w:noVBand="1"/>
      </w:tblPr>
      <w:tblGrid>
        <w:gridCol w:w="993"/>
        <w:gridCol w:w="8113"/>
      </w:tblGrid>
      <w:tr w:rsidR="00FC212F" w14:paraId="64EBCC09" w14:textId="77777777" w:rsidTr="00FC212F">
        <w:tc>
          <w:tcPr>
            <w:tcW w:w="993" w:type="dxa"/>
            <w:shd w:val="clear" w:color="auto" w:fill="auto"/>
          </w:tcPr>
          <w:p w14:paraId="0842A017" w14:textId="77777777" w:rsidR="00FC212F" w:rsidRDefault="00FC212F" w:rsidP="00FB7CC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noProof/>
                <w:lang w:val="id-ID" w:eastAsia="id-ID"/>
              </w:rPr>
              <w:drawing>
                <wp:anchor distT="0" distB="0" distL="0" distR="0" simplePos="0" relativeHeight="251659776" behindDoc="0" locked="0" layoutInCell="1" hidden="0" allowOverlap="1" wp14:anchorId="44FF6B6E" wp14:editId="1002A4FF">
                  <wp:simplePos x="0" y="0"/>
                  <wp:positionH relativeFrom="column">
                    <wp:posOffset>2348547</wp:posOffset>
                  </wp:positionH>
                  <wp:positionV relativeFrom="paragraph">
                    <wp:posOffset>0</wp:posOffset>
                  </wp:positionV>
                  <wp:extent cx="522605" cy="251460"/>
                  <wp:effectExtent l="0" t="0" r="0" b="0"/>
                  <wp:wrapSquare wrapText="bothSides" distT="0" distB="0" distL="0" distR="0"/>
                  <wp:docPr id="8" name="image3.png" descr="88x31"/>
                  <wp:cNvGraphicFramePr/>
                  <a:graphic xmlns:a="http://schemas.openxmlformats.org/drawingml/2006/main">
                    <a:graphicData uri="http://schemas.openxmlformats.org/drawingml/2006/picture">
                      <pic:pic xmlns:pic="http://schemas.openxmlformats.org/drawingml/2006/picture">
                        <pic:nvPicPr>
                          <pic:cNvPr id="0" name="image3.png" descr="88x31"/>
                          <pic:cNvPicPr preferRelativeResize="0"/>
                        </pic:nvPicPr>
                        <pic:blipFill>
                          <a:blip r:embed="rId16"/>
                          <a:srcRect/>
                          <a:stretch>
                            <a:fillRect/>
                          </a:stretch>
                        </pic:blipFill>
                        <pic:spPr>
                          <a:xfrm>
                            <a:off x="0" y="0"/>
                            <a:ext cx="522605" cy="251460"/>
                          </a:xfrm>
                          <a:prstGeom prst="rect">
                            <a:avLst/>
                          </a:prstGeom>
                          <a:ln/>
                        </pic:spPr>
                      </pic:pic>
                    </a:graphicData>
                  </a:graphic>
                </wp:anchor>
              </w:drawing>
            </w:r>
          </w:p>
        </w:tc>
        <w:tc>
          <w:tcPr>
            <w:tcW w:w="8113" w:type="dxa"/>
            <w:shd w:val="clear" w:color="auto" w:fill="auto"/>
          </w:tcPr>
          <w:p w14:paraId="7F045989" w14:textId="77777777" w:rsidR="00FC212F" w:rsidRDefault="00FC212F" w:rsidP="00FB7CC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highlight w:val="white"/>
              </w:rPr>
              <w:t>This work is licensed under a </w:t>
            </w:r>
            <w:hyperlink r:id="rId17">
              <w:r>
                <w:rPr>
                  <w:rFonts w:ascii="Times New Roman" w:eastAsia="Times New Roman" w:hAnsi="Times New Roman"/>
                  <w:i/>
                  <w:color w:val="4472C4"/>
                  <w:sz w:val="18"/>
                  <w:szCs w:val="18"/>
                  <w:highlight w:val="white"/>
                  <w:u w:val="single"/>
                </w:rPr>
                <w:t>Creative Commons Attribution-</w:t>
              </w:r>
              <w:proofErr w:type="spellStart"/>
              <w:r>
                <w:rPr>
                  <w:rFonts w:ascii="Times New Roman" w:eastAsia="Times New Roman" w:hAnsi="Times New Roman"/>
                  <w:i/>
                  <w:color w:val="4472C4"/>
                  <w:sz w:val="18"/>
                  <w:szCs w:val="18"/>
                  <w:highlight w:val="white"/>
                  <w:u w:val="single"/>
                </w:rPr>
                <w:t>ShareAlike</w:t>
              </w:r>
              <w:proofErr w:type="spellEnd"/>
              <w:r>
                <w:rPr>
                  <w:rFonts w:ascii="Times New Roman" w:eastAsia="Times New Roman" w:hAnsi="Times New Roman"/>
                  <w:i/>
                  <w:color w:val="4472C4"/>
                  <w:sz w:val="18"/>
                  <w:szCs w:val="18"/>
                  <w:highlight w:val="white"/>
                  <w:u w:val="single"/>
                </w:rPr>
                <w:t xml:space="preserve"> 4.0 International License</w:t>
              </w:r>
            </w:hyperlink>
            <w:r>
              <w:rPr>
                <w:rFonts w:ascii="Times New Roman" w:eastAsia="Times New Roman" w:hAnsi="Times New Roman"/>
                <w:color w:val="4472C4"/>
                <w:sz w:val="20"/>
                <w:szCs w:val="20"/>
              </w:rPr>
              <w:t>.</w:t>
            </w:r>
            <w:r>
              <w:rPr>
                <w:rFonts w:ascii="Times New Roman" w:eastAsia="Times New Roman" w:hAnsi="Times New Roman"/>
                <w:color w:val="000000"/>
                <w:sz w:val="20"/>
                <w:szCs w:val="20"/>
              </w:rPr>
              <w:t xml:space="preserve"> A</w:t>
            </w:r>
            <w:r>
              <w:rPr>
                <w:rFonts w:ascii="Times New Roman" w:eastAsia="Times New Roman" w:hAnsi="Times New Roman"/>
                <w:color w:val="000000"/>
                <w:sz w:val="20"/>
                <w:szCs w:val="20"/>
                <w:highlight w:val="white"/>
              </w:rPr>
              <w:t>llows readers to read, download, copy, distribute, print, search, or link to the full texts of its articles and allow readers to use them for any other lawful purpose.</w:t>
            </w:r>
          </w:p>
        </w:tc>
      </w:tr>
    </w:tbl>
    <w:p w14:paraId="038D34E7" w14:textId="27E49508" w:rsidR="00DA0426" w:rsidRDefault="00DA0426" w:rsidP="00D46526">
      <w:pPr>
        <w:pStyle w:val="ListParagraph"/>
        <w:spacing w:after="0" w:line="240" w:lineRule="auto"/>
        <w:ind w:left="0"/>
        <w:jc w:val="both"/>
        <w:rPr>
          <w:rFonts w:ascii="Times New Roman" w:hAnsi="Times New Roman"/>
          <w:b/>
          <w:sz w:val="24"/>
          <w:szCs w:val="24"/>
        </w:rPr>
      </w:pPr>
    </w:p>
    <w:p w14:paraId="07360BA8" w14:textId="77777777" w:rsidR="00FE7FFC" w:rsidRPr="00A92471" w:rsidRDefault="00FE7FFC" w:rsidP="00D46526">
      <w:pPr>
        <w:pStyle w:val="ListParagraph"/>
        <w:spacing w:after="0" w:line="240" w:lineRule="auto"/>
        <w:ind w:left="0"/>
        <w:jc w:val="both"/>
        <w:rPr>
          <w:rFonts w:ascii="Times New Roman" w:hAnsi="Times New Roman"/>
          <w:b/>
          <w:sz w:val="24"/>
          <w:szCs w:val="24"/>
        </w:rPr>
      </w:pPr>
    </w:p>
    <w:p w14:paraId="78C1CBD5" w14:textId="49274DFA" w:rsidR="00E1420A" w:rsidRPr="00775257" w:rsidRDefault="00E45C33" w:rsidP="00775257">
      <w:pPr>
        <w:pStyle w:val="ListParagraph"/>
        <w:numPr>
          <w:ilvl w:val="0"/>
          <w:numId w:val="42"/>
        </w:numPr>
        <w:spacing w:after="0" w:line="360" w:lineRule="auto"/>
        <w:ind w:left="630"/>
        <w:jc w:val="both"/>
        <w:rPr>
          <w:rFonts w:ascii="Times New Roman" w:hAnsi="Times New Roman"/>
          <w:b/>
          <w:sz w:val="24"/>
          <w:szCs w:val="24"/>
          <w:lang w:val="id-ID"/>
        </w:rPr>
      </w:pPr>
      <w:r w:rsidRPr="00775257">
        <w:rPr>
          <w:rFonts w:ascii="Times New Roman" w:hAnsi="Times New Roman"/>
          <w:b/>
          <w:sz w:val="24"/>
          <w:szCs w:val="24"/>
          <w:lang w:val="id-ID"/>
        </w:rPr>
        <w:lastRenderedPageBreak/>
        <w:t>Introduction</w:t>
      </w:r>
    </w:p>
    <w:p w14:paraId="04F2A30D" w14:textId="208017E6" w:rsidR="003D5D94" w:rsidRDefault="007A49B2" w:rsidP="00044AB1">
      <w:pPr>
        <w:spacing w:after="0" w:line="360" w:lineRule="auto"/>
        <w:ind w:left="270" w:firstLine="581"/>
        <w:jc w:val="both"/>
        <w:rPr>
          <w:rFonts w:ascii="Times New Roman" w:hAnsi="Times New Roman"/>
          <w:sz w:val="24"/>
          <w:szCs w:val="24"/>
        </w:rPr>
      </w:pPr>
      <w:r w:rsidRPr="007A49B2">
        <w:rPr>
          <w:rFonts w:ascii="Times New Roman" w:hAnsi="Times New Roman"/>
          <w:sz w:val="24"/>
          <w:szCs w:val="24"/>
        </w:rPr>
        <w:t>The United Nations created the Sustainable Development Objectives (SDGs) as a worldwide development program benefiting people and the planet Earth, consisting of 17 goals and 169 quantifiable accomplishments and targets. In 2016, the Sustainable Development Goals (SDGs) for the period 2015–2030 formally superseded the Millennium Development Goals (MDGs) for the period 2000–2015. (MDGs). The SDGs are a collection of universally applicable transformational objectives. Sustaining cities and communities is the SDGs' eleventh objective, with ten targets to be met worldwide. The aim is to create inclusive, safe, resilient, and sustainable cities and settlements. One approach to achieve environmentally friendly sustainable urban development is to minimize the usage of cement in building projects by using renewable resources that may perform the function of cement.</w:t>
      </w:r>
    </w:p>
    <w:p w14:paraId="2B99E35A" w14:textId="1E655F88" w:rsidR="003D5D94" w:rsidRDefault="00C63F36" w:rsidP="00044AB1">
      <w:pPr>
        <w:spacing w:after="0" w:line="360" w:lineRule="auto"/>
        <w:ind w:left="270" w:firstLine="581"/>
        <w:jc w:val="both"/>
        <w:rPr>
          <w:rFonts w:ascii="Times New Roman" w:hAnsi="Times New Roman"/>
          <w:sz w:val="24"/>
          <w:szCs w:val="24"/>
        </w:rPr>
      </w:pPr>
      <w:r w:rsidRPr="00C63F36">
        <w:rPr>
          <w:rFonts w:ascii="Times New Roman" w:hAnsi="Times New Roman"/>
          <w:sz w:val="24"/>
          <w:szCs w:val="24"/>
          <w:lang w:val="id-ID"/>
        </w:rPr>
        <w:t>Using X-Ray Fluorescence (XRF) analysis, previous research on fly ash from the Bosowa Ernergi Jeneponto PLTU revealed that the four highest chemical compositions of fly ash are silicate (SiO</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 aluminum (Al</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O</w:t>
      </w:r>
      <w:r w:rsidRPr="00C63F36">
        <w:rPr>
          <w:rFonts w:ascii="Times New Roman" w:hAnsi="Times New Roman"/>
          <w:sz w:val="24"/>
          <w:szCs w:val="24"/>
          <w:vertAlign w:val="subscript"/>
          <w:lang w:val="id-ID"/>
        </w:rPr>
        <w:t>3</w:t>
      </w:r>
      <w:r w:rsidRPr="00C63F36">
        <w:rPr>
          <w:rFonts w:ascii="Times New Roman" w:hAnsi="Times New Roman"/>
          <w:sz w:val="24"/>
          <w:szCs w:val="24"/>
          <w:lang w:val="id-ID"/>
        </w:rPr>
        <w:t>), iron (Fe</w:t>
      </w:r>
      <w:r w:rsidRPr="00C63F36">
        <w:rPr>
          <w:rFonts w:ascii="Times New Roman" w:hAnsi="Times New Roman"/>
          <w:sz w:val="24"/>
          <w:szCs w:val="24"/>
          <w:vertAlign w:val="subscript"/>
          <w:lang w:val="id-ID"/>
        </w:rPr>
        <w:t>2</w:t>
      </w:r>
      <w:r w:rsidRPr="00C63F36">
        <w:rPr>
          <w:rFonts w:ascii="Times New Roman" w:hAnsi="Times New Roman"/>
          <w:sz w:val="24"/>
          <w:szCs w:val="24"/>
          <w:lang w:val="id-ID"/>
        </w:rPr>
        <w:t>O</w:t>
      </w:r>
      <w:r w:rsidRPr="00C63F36">
        <w:rPr>
          <w:rFonts w:ascii="Times New Roman" w:hAnsi="Times New Roman"/>
          <w:sz w:val="24"/>
          <w:szCs w:val="24"/>
          <w:vertAlign w:val="subscript"/>
          <w:lang w:val="id-ID"/>
        </w:rPr>
        <w:t>3</w:t>
      </w:r>
      <w:r w:rsidRPr="00C63F36">
        <w:rPr>
          <w:rFonts w:ascii="Times New Roman" w:hAnsi="Times New Roman"/>
          <w:sz w:val="24"/>
          <w:szCs w:val="24"/>
          <w:lang w:val="id-ID"/>
        </w:rPr>
        <w:t>), and lime (CaO)</w:t>
      </w:r>
      <w:r w:rsidR="003D5D94" w:rsidRPr="00C63F36">
        <w:rPr>
          <w:rStyle w:val="HTMLPreformattedChar"/>
          <w:rFonts w:ascii="Times New Roman" w:eastAsiaTheme="majorEastAsia" w:hAnsi="Times New Roman" w:cs="Times New Roman"/>
          <w:sz w:val="24"/>
          <w:szCs w:val="24"/>
        </w:rPr>
        <w:t xml:space="preserve"> </w:t>
      </w:r>
      <w:r w:rsidR="003D5D94" w:rsidRPr="00C63F36">
        <w:rPr>
          <w:rStyle w:val="HTMLPreformattedChar"/>
          <w:rFonts w:ascii="Times New Roman" w:eastAsiaTheme="majorEastAsia" w:hAnsi="Times New Roman" w:cs="Times New Roman"/>
          <w:sz w:val="24"/>
          <w:szCs w:val="24"/>
        </w:rPr>
        <w:fldChar w:fldCharType="begin" w:fldLock="1"/>
      </w:r>
      <w:r w:rsidR="00757C89" w:rsidRPr="00C63F36">
        <w:rPr>
          <w:rStyle w:val="HTMLPreformattedChar"/>
          <w:rFonts w:ascii="Times New Roman" w:eastAsiaTheme="majorEastAsia" w:hAnsi="Times New Roman" w:cs="Times New Roman"/>
          <w:sz w:val="24"/>
          <w:szCs w:val="24"/>
        </w:rPr>
        <w:instrText>ADDIN CSL_CITATION {"citationItems":[{"id":"ITEM-1","itemData":{"ISSN":"09766316","abstract":"Industry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Technology","id":"ITEM-1","issue":"10","issued":{"date-parts":[["2018"]]},"page":"1465-1472","title":"The development of compressive strength on geopolymer mortar using fly ash as based material in South Sulawesi","type":"article-journal","volume":"9"},"uris":["http://www.mendeley.com/documents/?uuid=df940ae1-2dfd-4f80-9e78-e163e35b22ce"]}],"mendeley":{"formattedCitation":"[1]","plainTextFormattedCitation":"[1]","previouslyFormattedCitation":"[1]"},"properties":{"noteIndex":0},"schema":"https://github.com/citation-style-language/schema/raw/master/csl-citation.json"}</w:instrText>
      </w:r>
      <w:r w:rsidR="003D5D94" w:rsidRPr="00C63F36">
        <w:rPr>
          <w:rStyle w:val="HTMLPreformattedChar"/>
          <w:rFonts w:ascii="Times New Roman" w:eastAsiaTheme="majorEastAsia" w:hAnsi="Times New Roman" w:cs="Times New Roman"/>
          <w:sz w:val="24"/>
          <w:szCs w:val="24"/>
        </w:rPr>
        <w:fldChar w:fldCharType="separate"/>
      </w:r>
      <w:r w:rsidR="00757C89" w:rsidRPr="00C63F36">
        <w:rPr>
          <w:rStyle w:val="HTMLPreformattedChar"/>
          <w:rFonts w:ascii="Times New Roman" w:eastAsiaTheme="majorEastAsia" w:hAnsi="Times New Roman" w:cs="Times New Roman"/>
          <w:noProof/>
          <w:sz w:val="24"/>
          <w:szCs w:val="24"/>
        </w:rPr>
        <w:t>[1]</w:t>
      </w:r>
      <w:r w:rsidR="003D5D94" w:rsidRPr="00C63F36">
        <w:rPr>
          <w:rStyle w:val="HTMLPreformattedChar"/>
          <w:rFonts w:ascii="Times New Roman" w:eastAsiaTheme="majorEastAsia" w:hAnsi="Times New Roman" w:cs="Times New Roman"/>
          <w:sz w:val="24"/>
          <w:szCs w:val="24"/>
        </w:rPr>
        <w:fldChar w:fldCharType="end"/>
      </w:r>
      <w:r w:rsidR="003D5D94" w:rsidRPr="00C63F36">
        <w:rPr>
          <w:rStyle w:val="HTMLPreformattedChar"/>
          <w:rFonts w:ascii="Times New Roman" w:eastAsiaTheme="majorEastAsia" w:hAnsi="Times New Roman" w:cs="Times New Roman"/>
          <w:sz w:val="24"/>
          <w:szCs w:val="24"/>
        </w:rPr>
        <w:t>.</w:t>
      </w:r>
      <w:r w:rsidRPr="00C63F36">
        <w:t xml:space="preserve"> </w:t>
      </w:r>
      <w:r w:rsidRPr="00C63F36">
        <w:rPr>
          <w:rStyle w:val="HTMLPreformattedChar"/>
          <w:rFonts w:ascii="Times New Roman" w:eastAsiaTheme="majorEastAsia" w:hAnsi="Times New Roman" w:cs="Times New Roman"/>
          <w:sz w:val="24"/>
          <w:szCs w:val="24"/>
        </w:rPr>
        <w:t xml:space="preserve">According to ASTM C 618-96,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Jeneponto's</w:t>
      </w:r>
      <w:proofErr w:type="spellEnd"/>
      <w:r w:rsidRPr="00C63F36">
        <w:rPr>
          <w:rStyle w:val="HTMLPreformattedChar"/>
          <w:rFonts w:ascii="Times New Roman" w:eastAsiaTheme="majorEastAsia" w:hAnsi="Times New Roman" w:cs="Times New Roman"/>
          <w:sz w:val="24"/>
          <w:szCs w:val="24"/>
        </w:rPr>
        <w:t xml:space="preserve"> fly ash is classified as a class C type, with a </w:t>
      </w:r>
      <w:proofErr w:type="spellStart"/>
      <w:r w:rsidRPr="00C63F36">
        <w:rPr>
          <w:rStyle w:val="HTMLPreformattedChar"/>
          <w:rFonts w:ascii="Times New Roman" w:eastAsiaTheme="majorEastAsia" w:hAnsi="Times New Roman" w:cs="Times New Roman"/>
          <w:sz w:val="24"/>
          <w:szCs w:val="24"/>
        </w:rPr>
        <w:t>CaO</w:t>
      </w:r>
      <w:proofErr w:type="spellEnd"/>
      <w:r w:rsidRPr="00C63F36">
        <w:rPr>
          <w:rStyle w:val="HTMLPreformattedChar"/>
          <w:rFonts w:ascii="Times New Roman" w:eastAsiaTheme="majorEastAsia" w:hAnsi="Times New Roman" w:cs="Times New Roman"/>
          <w:sz w:val="24"/>
          <w:szCs w:val="24"/>
        </w:rPr>
        <w:t xml:space="preserve"> content of 23.52 percent. Apart from being cement, the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has pozzolanic properties. This is because the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contains a high concentration of </w:t>
      </w:r>
      <w:proofErr w:type="spellStart"/>
      <w:r w:rsidRPr="00C63F36">
        <w:rPr>
          <w:rStyle w:val="HTMLPreformattedChar"/>
          <w:rFonts w:ascii="Times New Roman" w:eastAsiaTheme="majorEastAsia" w:hAnsi="Times New Roman" w:cs="Times New Roman"/>
          <w:sz w:val="24"/>
          <w:szCs w:val="24"/>
        </w:rPr>
        <w:t>CaO</w:t>
      </w:r>
      <w:proofErr w:type="spellEnd"/>
      <w:r w:rsidRPr="00C63F36">
        <w:rPr>
          <w:rStyle w:val="HTMLPreformattedChar"/>
          <w:rFonts w:ascii="Times New Roman" w:eastAsiaTheme="majorEastAsia" w:hAnsi="Times New Roman" w:cs="Times New Roman"/>
          <w:sz w:val="24"/>
          <w:szCs w:val="24"/>
        </w:rPr>
        <w:t xml:space="preserve">. The use of fly ash from the </w:t>
      </w:r>
      <w:proofErr w:type="spellStart"/>
      <w:r w:rsidRPr="00C63F36">
        <w:rPr>
          <w:rStyle w:val="HTMLPreformattedChar"/>
          <w:rFonts w:ascii="Times New Roman" w:eastAsiaTheme="majorEastAsia" w:hAnsi="Times New Roman" w:cs="Times New Roman"/>
          <w:sz w:val="24"/>
          <w:szCs w:val="24"/>
        </w:rPr>
        <w:t>Bosowa</w:t>
      </w:r>
      <w:proofErr w:type="spellEnd"/>
      <w:r w:rsidRPr="00C63F36">
        <w:rPr>
          <w:rStyle w:val="HTMLPreformattedChar"/>
          <w:rFonts w:ascii="Times New Roman" w:eastAsiaTheme="majorEastAsia" w:hAnsi="Times New Roman" w:cs="Times New Roman"/>
          <w:sz w:val="24"/>
          <w:szCs w:val="24"/>
        </w:rPr>
        <w:t xml:space="preserve"> </w:t>
      </w:r>
      <w:proofErr w:type="spellStart"/>
      <w:r w:rsidRPr="00C63F36">
        <w:rPr>
          <w:rStyle w:val="HTMLPreformattedChar"/>
          <w:rFonts w:ascii="Times New Roman" w:eastAsiaTheme="majorEastAsia" w:hAnsi="Times New Roman" w:cs="Times New Roman"/>
          <w:sz w:val="24"/>
          <w:szCs w:val="24"/>
        </w:rPr>
        <w:t>Jeneponto</w:t>
      </w:r>
      <w:proofErr w:type="spellEnd"/>
      <w:r w:rsidRPr="00C63F36">
        <w:rPr>
          <w:rStyle w:val="HTMLPreformattedChar"/>
          <w:rFonts w:ascii="Times New Roman" w:eastAsiaTheme="majorEastAsia" w:hAnsi="Times New Roman" w:cs="Times New Roman"/>
          <w:sz w:val="24"/>
          <w:szCs w:val="24"/>
        </w:rPr>
        <w:t xml:space="preserve"> PLTU </w:t>
      </w:r>
      <w:proofErr w:type="spellStart"/>
      <w:r w:rsidRPr="00C63F36">
        <w:rPr>
          <w:rStyle w:val="HTMLPreformattedChar"/>
          <w:rFonts w:ascii="Times New Roman" w:eastAsiaTheme="majorEastAsia" w:hAnsi="Times New Roman" w:cs="Times New Roman"/>
          <w:sz w:val="24"/>
          <w:szCs w:val="24"/>
        </w:rPr>
        <w:t>Energi</w:t>
      </w:r>
      <w:proofErr w:type="spellEnd"/>
      <w:r w:rsidRPr="00C63F36">
        <w:rPr>
          <w:rStyle w:val="HTMLPreformattedChar"/>
          <w:rFonts w:ascii="Times New Roman" w:eastAsiaTheme="majorEastAsia" w:hAnsi="Times New Roman" w:cs="Times New Roman"/>
          <w:sz w:val="24"/>
          <w:szCs w:val="24"/>
        </w:rPr>
        <w:t xml:space="preserve"> power plant in the manufacture of geopolymer mortar has been investigated, and the results indicate that fly ash can be used in place of cement in mortar due to its high strength for construction.</w:t>
      </w:r>
      <w:r w:rsidR="003D5D94" w:rsidRPr="00C63F36">
        <w:rPr>
          <w:rStyle w:val="HTMLPreformattedChar"/>
          <w:rFonts w:ascii="Times New Roman" w:eastAsiaTheme="majorEastAsia" w:hAnsi="Times New Roman" w:cs="Times New Roman"/>
          <w:sz w:val="24"/>
          <w:szCs w:val="24"/>
        </w:rPr>
        <w:t xml:space="preserve">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Sciences","id":"ITEM-1","issue":"5","issued":{"date-parts":[["2020"]]},"page":"1-6","title":"Correlation of NAOH composition and alkali modulus to compressive strength on geopolymers mortar","type":"article-journal","volume":"15"},"uris":["http://www.mendeley.com/documents/?uuid=69e08252-9895-4840-9985-fa53ae5a0845"]},{"id":"ITEM-2","itemData":{"author":[{"dropping-particle":"","family":"EFNARC","given":"","non-dropping-particle":"","parse-names":false,"suffix":""}],"id":"ITEM-2","issued":{"date-parts":[["2005"]]},"publisher-place":"UK","title":"The European Guidelines for Self-Compacting Concrete: Specification, Production and Use","type":"book"},"uris":["http://www.mendeley.com/documents/?uuid=263a662d-0283-4fb4-9ec0-341de58d8a52"]},{"id":"ITEM-3","itemData":{"ISSN":"1819-6608","abstract":"Oven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Sciences","id":"ITEM-3","issue":"5","issued":{"date-parts":[["2020"]]},"page":"1-6","title":"The connection between oven curing duration and compressive strength on C-type fly ash based-Geopolymer mortar","type":"article-journal","volume":"15"},"uris":["http://www.mendeley.com/documents/?uuid=657d336e-0b70-4bad-afa0-0706b83df0ba"]},{"id":"ITEM-4","itemData":{"ISSN":"09766316","abstract":"Industry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Technology","id":"ITEM-4","issue":"10","issued":{"date-parts":[["2018"]]},"page":"1465-1472","title":"The development of compressive strength on geopolymer mortar using fly ash as based material in South Sulawesi","type":"article-journal","volume":"9"},"uris":["http://www.mendeley.com/documents/?uuid=df940ae1-2dfd-4f80-9e78-e163e35b22ce"]}],"mendeley":{"formattedCitation":"[1]–[4]","plainTextFormattedCitation":"[1]–[4]","previouslyFormattedCitation":"[1]–[4]"},"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[1]–[4]</w:t>
      </w:r>
      <w:r w:rsidR="00694CB8">
        <w:rPr>
          <w:rFonts w:ascii="Times New Roman" w:hAnsi="Times New Roman"/>
          <w:sz w:val="24"/>
          <w:szCs w:val="24"/>
        </w:rPr>
        <w:fldChar w:fldCharType="end"/>
      </w:r>
      <w:r w:rsidR="00694CB8">
        <w:rPr>
          <w:rFonts w:ascii="Times New Roman" w:hAnsi="Times New Roman"/>
          <w:sz w:val="24"/>
          <w:szCs w:val="24"/>
        </w:rPr>
        <w:t xml:space="preserve">.  </w:t>
      </w:r>
    </w:p>
    <w:p w14:paraId="153450E2" w14:textId="776A7F9E" w:rsidR="003D5D94" w:rsidRPr="00221762"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Numerous studies on fly ash-based concrete have been conducted, one of which examined the Utilization of Coal Fly Ash as a Partial Substitute for Cement in Concrete Mixtures by varying the amount of coal fly ash added to PLTU </w:t>
      </w:r>
      <w:proofErr w:type="spellStart"/>
      <w:r w:rsidRPr="008845FE">
        <w:rPr>
          <w:rFonts w:ascii="Times New Roman" w:hAnsi="Times New Roman"/>
          <w:sz w:val="24"/>
          <w:szCs w:val="24"/>
        </w:rPr>
        <w:t>Jeneponto</w:t>
      </w:r>
      <w:proofErr w:type="spellEnd"/>
      <w:r w:rsidRPr="008845FE">
        <w:rPr>
          <w:rFonts w:ascii="Times New Roman" w:hAnsi="Times New Roman"/>
          <w:sz w:val="24"/>
          <w:szCs w:val="24"/>
        </w:rPr>
        <w:t xml:space="preserve"> as a substitute for PCC cement by 15%, 30%, and 45 percent. At 28 days, the compressive strength of 15% fly ash concrete increased by 1.2 percent, while at 90 days, the compressive strength of 15% and 30% fly ash concrete increased by 1.28 percent and 3.8 percent, respectively</w:t>
      </w:r>
      <w:r>
        <w:rPr>
          <w:rFonts w:ascii="Times New Roman" w:hAnsi="Times New Roman"/>
          <w:sz w:val="24"/>
          <w:szCs w:val="24"/>
        </w:rPr>
        <w:t xml:space="preserve"> </w:t>
      </w:r>
      <w:r w:rsidR="003D5D94" w:rsidRPr="00221762">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ISBN":"9786026076670","author":[{"dropping-particle":"","family":"Idris","given":"","non-dropping-particle":"","parse-names":false,"suffix":""},{"dropping-particle":"","family":"Ibrahim","given":"","non-dropping-particle":"","parse-names":false,"suffix":""}],"id":"ITEM-1","issued":{"date-parts":[["2019"]]},"page":"165-170","title":"Pemanaatan abu terbang batu bara sebagai pengganti sebagian semen untuk campuran beton","type":"article-journal","volume":"2019"},"uris":["http://www.mendeley.com/documents/?uuid=55148c40-9842-4b52-b554-76cc10d19726","http://www.mendeley.com/documents/?uuid=e5803c63-e792-499b-9ed7-7cca46d4bca2"]}],"mendeley":{"formattedCitation":"[5]","plainTextFormattedCitation":"[5]","previouslyFormattedCitation":"[5]"},"properties":{"noteIndex":0},"schema":"https://github.com/citation-style-language/schema/raw/master/csl-citation.json"}</w:instrText>
      </w:r>
      <w:r w:rsidR="003D5D94" w:rsidRPr="00221762">
        <w:rPr>
          <w:rFonts w:ascii="Times New Roman" w:hAnsi="Times New Roman"/>
          <w:sz w:val="24"/>
          <w:szCs w:val="24"/>
        </w:rPr>
        <w:fldChar w:fldCharType="separate"/>
      </w:r>
      <w:r w:rsidR="00694CB8" w:rsidRPr="00694CB8">
        <w:rPr>
          <w:rFonts w:ascii="Times New Roman" w:hAnsi="Times New Roman"/>
          <w:noProof/>
          <w:sz w:val="24"/>
          <w:szCs w:val="24"/>
        </w:rPr>
        <w:t>[5]</w:t>
      </w:r>
      <w:r w:rsidR="003D5D94" w:rsidRPr="00221762">
        <w:rPr>
          <w:rFonts w:ascii="Times New Roman" w:hAnsi="Times New Roman"/>
          <w:sz w:val="24"/>
          <w:szCs w:val="24"/>
        </w:rPr>
        <w:fldChar w:fldCharType="end"/>
      </w:r>
      <w:r w:rsidR="001147A9">
        <w:rPr>
          <w:rFonts w:ascii="Times New Roman" w:hAnsi="Times New Roman"/>
          <w:sz w:val="24"/>
          <w:szCs w:val="24"/>
        </w:rPr>
        <w:t xml:space="preserve">. </w:t>
      </w:r>
    </w:p>
    <w:p w14:paraId="79125D3F" w14:textId="7175BFF2" w:rsidR="00155E5F" w:rsidRPr="00155E5F"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Geopolymer binders emit carbon dioxide at a rate of 5-6 times that of Portland cement </w:t>
      </w:r>
      <w:r w:rsidR="001147A9">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{"citationItems":[{"id":"ITEM-1","itemData":{"author":[{"dropping-particle":"","family":"Davidovits","given":"J.","non-dropping-particle":"","parse-names":false,"suffix":""}],"id":"ITEM-1","issued":{"date-parts":[["2008"]]},"publisher":"Geopolymer Institute, Saint-Quentin","title":"Geopolymer Chemistry and Applications","type":"book"},"uris":["http://www.mendeley.com/documents/?uuid=850ab8fb-fad1-4788-b27b-be7981da0932"]}],"mendeley":{"formattedCitation":"[6]","plainTextFormattedCitation":"[6]","previouslyFormattedCitation":"[6]"},"properties":{"noteIndex":0},"schema":"https://github.com/citation-style-language/schema/raw/master/csl-citation.json"}</w:instrText>
      </w:r>
      <w:r w:rsidR="001147A9">
        <w:rPr>
          <w:rFonts w:ascii="Times New Roman" w:hAnsi="Times New Roman"/>
          <w:sz w:val="24"/>
          <w:szCs w:val="24"/>
        </w:rPr>
        <w:fldChar w:fldCharType="separate"/>
      </w:r>
      <w:r w:rsidR="00694CB8" w:rsidRPr="00694CB8">
        <w:rPr>
          <w:rFonts w:ascii="Times New Roman" w:hAnsi="Times New Roman"/>
          <w:noProof/>
          <w:sz w:val="24"/>
          <w:szCs w:val="24"/>
        </w:rPr>
        <w:t>[6]</w:t>
      </w:r>
      <w:r w:rsidR="001147A9">
        <w:rPr>
          <w:rFonts w:ascii="Times New Roman" w:hAnsi="Times New Roman"/>
          <w:sz w:val="24"/>
          <w:szCs w:val="24"/>
        </w:rPr>
        <w:fldChar w:fldCharType="end"/>
      </w:r>
      <w:r w:rsidR="00155E5F" w:rsidRPr="00155E5F">
        <w:rPr>
          <w:rFonts w:ascii="Times New Roman" w:hAnsi="Times New Roman"/>
          <w:sz w:val="24"/>
          <w:szCs w:val="24"/>
        </w:rPr>
        <w:t xml:space="preserve">. </w:t>
      </w:r>
      <w:r w:rsidRPr="008845FE">
        <w:rPr>
          <w:rFonts w:ascii="Times New Roman" w:hAnsi="Times New Roman"/>
          <w:sz w:val="24"/>
          <w:szCs w:val="24"/>
        </w:rPr>
        <w:t xml:space="preserve">Through industrial usage of geopolymer concrete and its by-products, hazardous materials are converted into necessary building materials. Alkaline activation of </w:t>
      </w:r>
      <w:proofErr w:type="spellStart"/>
      <w:r w:rsidRPr="008845FE">
        <w:rPr>
          <w:rFonts w:ascii="Times New Roman" w:hAnsi="Times New Roman"/>
          <w:sz w:val="24"/>
          <w:szCs w:val="24"/>
        </w:rPr>
        <w:t>alumino</w:t>
      </w:r>
      <w:proofErr w:type="spellEnd"/>
      <w:r w:rsidRPr="008845FE">
        <w:rPr>
          <w:rFonts w:ascii="Times New Roman" w:hAnsi="Times New Roman"/>
          <w:sz w:val="24"/>
          <w:szCs w:val="24"/>
        </w:rPr>
        <w:t xml:space="preserve">-silicate minerals derived from geological sources or by-products such as </w:t>
      </w:r>
      <w:proofErr w:type="spellStart"/>
      <w:r w:rsidRPr="008845FE">
        <w:rPr>
          <w:rFonts w:ascii="Times New Roman" w:hAnsi="Times New Roman"/>
          <w:sz w:val="24"/>
          <w:szCs w:val="24"/>
        </w:rPr>
        <w:t>metakaline</w:t>
      </w:r>
      <w:proofErr w:type="spellEnd"/>
      <w:r w:rsidRPr="008845FE">
        <w:rPr>
          <w:rFonts w:ascii="Times New Roman" w:hAnsi="Times New Roman"/>
          <w:sz w:val="24"/>
          <w:szCs w:val="24"/>
        </w:rPr>
        <w:t xml:space="preserve">, fly ash, husk ash, and silica fumes results in the formation of geopolymer </w:t>
      </w:r>
      <w:r w:rsidRPr="008845FE">
        <w:rPr>
          <w:rFonts w:ascii="Times New Roman" w:hAnsi="Times New Roman"/>
          <w:sz w:val="24"/>
          <w:szCs w:val="24"/>
        </w:rPr>
        <w:lastRenderedPageBreak/>
        <w:t>concrete. Although the mechanism of alkali activation is unknown, the chemical composition of the source material and alkaline activator has a significant influence in the formation of geopolymer products.</w:t>
      </w:r>
    </w:p>
    <w:p w14:paraId="50903EF5" w14:textId="31088E83" w:rsidR="00155E5F" w:rsidRPr="00155E5F"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Geopolymer is mostly composed of industrial waste fly ash, which is rich in the elements alumina (Al) and silica (Si). The silica and alumina components in fly ash are dissolved in an alkaline solution. The alkaline solution is composed of sodium hydroxide (NaOH), sodium silicate (Na</w:t>
      </w:r>
      <w:r w:rsidRPr="008845FE">
        <w:rPr>
          <w:rFonts w:ascii="Times New Roman" w:hAnsi="Times New Roman"/>
          <w:sz w:val="24"/>
          <w:szCs w:val="24"/>
          <w:vertAlign w:val="subscript"/>
        </w:rPr>
        <w:t>2</w:t>
      </w:r>
      <w:r w:rsidRPr="008845FE">
        <w:rPr>
          <w:rFonts w:ascii="Times New Roman" w:hAnsi="Times New Roman"/>
          <w:sz w:val="24"/>
          <w:szCs w:val="24"/>
        </w:rPr>
        <w:t>SiO</w:t>
      </w:r>
      <w:r w:rsidRPr="008845FE">
        <w:rPr>
          <w:rFonts w:ascii="Times New Roman" w:hAnsi="Times New Roman"/>
          <w:sz w:val="24"/>
          <w:szCs w:val="24"/>
          <w:vertAlign w:val="subscript"/>
        </w:rPr>
        <w:t>3</w:t>
      </w:r>
      <w:r w:rsidRPr="008845FE">
        <w:rPr>
          <w:rFonts w:ascii="Times New Roman" w:hAnsi="Times New Roman"/>
          <w:sz w:val="24"/>
          <w:szCs w:val="24"/>
        </w:rPr>
        <w:t>), and distilled water (H</w:t>
      </w:r>
      <w:r w:rsidRPr="008845FE">
        <w:rPr>
          <w:rFonts w:ascii="Times New Roman" w:hAnsi="Times New Roman"/>
          <w:sz w:val="24"/>
          <w:szCs w:val="24"/>
          <w:vertAlign w:val="subscript"/>
        </w:rPr>
        <w:t>2</w:t>
      </w:r>
      <w:r w:rsidRPr="008845FE">
        <w:rPr>
          <w:rFonts w:ascii="Times New Roman" w:hAnsi="Times New Roman"/>
          <w:sz w:val="24"/>
          <w:szCs w:val="24"/>
        </w:rPr>
        <w:t xml:space="preserve">O), all of which are necessary components of the synthesis. Geopolymer concrete synthesis is extremely reliant on the state of the raw materials, namely the type and content of the fly ash, the concentration of alkaline solution, and the </w:t>
      </w:r>
      <w:proofErr w:type="spellStart"/>
      <w:r w:rsidRPr="008845FE">
        <w:rPr>
          <w:rFonts w:ascii="Times New Roman" w:hAnsi="Times New Roman"/>
          <w:sz w:val="24"/>
          <w:szCs w:val="24"/>
        </w:rPr>
        <w:t>geopolymerization</w:t>
      </w:r>
      <w:proofErr w:type="spellEnd"/>
      <w:r w:rsidRPr="008845FE">
        <w:rPr>
          <w:rFonts w:ascii="Times New Roman" w:hAnsi="Times New Roman"/>
          <w:sz w:val="24"/>
          <w:szCs w:val="24"/>
        </w:rPr>
        <w:t xml:space="preserve"> process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Jaarsveld","given":"J","non-dropping-particle":"Van","parse-names":false,"suffix":""},{"dropping-particle":"","family":"Deventer","given":"J","non-dropping-particle":"Van","parse-names":false,"suffix":""},{"dropping-particle":"","family":"Lukey","given":"G","non-dropping-particle":"","parse-names":false,"suffix":""}],"container-title":"Chemical Engineering Journal","id":"ITEM-1","issued":{"date-parts":[["2002"]]},"page":"63-73","title":"The Effect Of Composition And Temperature On The Properties Of Fly Ash-And Kaolinite-Based Geopolymers","type":"article-journal","volume":"89"},"uris":["http://www.mendeley.com/documents/?uuid=f3c27c48-196f-4097-af84-8185003e982f"]}],"mendeley":{"formattedCitation":"[7]","plainTextFormattedCitation":"[7]","previouslyFormattedCitation":"[7]"},"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[7]</w:t>
      </w:r>
      <w:r w:rsidR="00694CB8">
        <w:rPr>
          <w:rFonts w:ascii="Times New Roman" w:hAnsi="Times New Roman"/>
          <w:sz w:val="24"/>
          <w:szCs w:val="24"/>
        </w:rPr>
        <w:fldChar w:fldCharType="end"/>
      </w:r>
      <w:r w:rsidR="00155E5F" w:rsidRPr="00155E5F">
        <w:rPr>
          <w:rFonts w:ascii="Times New Roman" w:hAnsi="Times New Roman"/>
          <w:sz w:val="24"/>
          <w:szCs w:val="24"/>
        </w:rPr>
        <w:t>.</w:t>
      </w:r>
    </w:p>
    <w:p w14:paraId="3DB5A8DC" w14:textId="11EEFBE5" w:rsidR="00E1420A" w:rsidRDefault="008845FE" w:rsidP="00044AB1">
      <w:pPr>
        <w:spacing w:after="0" w:line="360" w:lineRule="auto"/>
        <w:ind w:left="270" w:firstLine="581"/>
        <w:jc w:val="both"/>
        <w:rPr>
          <w:rFonts w:ascii="Times New Roman" w:hAnsi="Times New Roman"/>
          <w:sz w:val="24"/>
          <w:szCs w:val="24"/>
        </w:rPr>
      </w:pPr>
      <w:r w:rsidRPr="008845FE">
        <w:rPr>
          <w:rFonts w:ascii="Times New Roman" w:hAnsi="Times New Roman"/>
          <w:sz w:val="24"/>
          <w:szCs w:val="24"/>
        </w:rPr>
        <w:t xml:space="preserve">SCC is a self-compacting concrete with a rather high slump. SCC does not need vibration throughout the volume placement and compaction processes, like conventional concrete does. SCC has a high flow capacity, which enables it to flow, fill the formwork, and achieve its maximum density on its own </w:t>
      </w:r>
      <w:r w:rsidR="00694CB8">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{"citationItems":[{"id":"ITEM-1","itemData":{"author":[{"dropping-particle":"","family":"EFNARC","given":"","non-dropping-particle":"","parse-names":false,"suffix":""}],"id":"ITEM-1","issued":{"date-parts":[["2005"]]},"publisher-place":"UK","title":"The European Guidelines for Self-Compacting Concrete: Specification, Production and Use","type":"book"},"uris":["http://www.mendeley.com/documents/?uuid=263a662d-0283-4fb4-9ec0-341de58d8a52"]}],"mendeley":{"formattedCitation":"[3]","plainTextFormattedCitation":"[3]","previouslyFormattedCitation":"[3]"},"properties":{"noteIndex":0},"schema":"https://github.com/citation-style-language/schema/raw/master/csl-citation.json"}</w:instrText>
      </w:r>
      <w:r w:rsidR="00694CB8">
        <w:rPr>
          <w:rFonts w:ascii="Times New Roman" w:hAnsi="Times New Roman"/>
          <w:sz w:val="24"/>
          <w:szCs w:val="24"/>
        </w:rPr>
        <w:fldChar w:fldCharType="separate"/>
      </w:r>
      <w:r w:rsidR="00694CB8" w:rsidRPr="00694CB8">
        <w:rPr>
          <w:rFonts w:ascii="Times New Roman" w:hAnsi="Times New Roman"/>
          <w:noProof/>
          <w:sz w:val="24"/>
          <w:szCs w:val="24"/>
        </w:rPr>
        <w:t>[3]</w:t>
      </w:r>
      <w:r w:rsidR="00694CB8">
        <w:rPr>
          <w:rFonts w:ascii="Times New Roman" w:hAnsi="Times New Roman"/>
          <w:sz w:val="24"/>
          <w:szCs w:val="24"/>
        </w:rPr>
        <w:fldChar w:fldCharType="end"/>
      </w:r>
      <w:r w:rsidR="00694CB8">
        <w:rPr>
          <w:rFonts w:ascii="Times New Roman" w:hAnsi="Times New Roman"/>
          <w:sz w:val="24"/>
          <w:szCs w:val="24"/>
        </w:rPr>
        <w:t>.</w:t>
      </w:r>
      <w:r w:rsidR="001404A9">
        <w:rPr>
          <w:rFonts w:ascii="Times New Roman" w:hAnsi="Times New Roman"/>
          <w:sz w:val="24"/>
          <w:szCs w:val="24"/>
        </w:rPr>
        <w:t xml:space="preserve"> </w:t>
      </w:r>
      <w:r w:rsidRPr="008845FE">
        <w:rPr>
          <w:rFonts w:ascii="Times New Roman" w:hAnsi="Times New Roman"/>
          <w:sz w:val="24"/>
          <w:szCs w:val="24"/>
        </w:rPr>
        <w:t>The impact of superplasticizer (SP) and active sodium hydroxide (NaOH) molarity on the workability, compressive strength, and microstructural characteristics of self-compacting geopolymer concrete was investigated</w:t>
      </w:r>
      <w:r w:rsidR="004A5576">
        <w:rPr>
          <w:rFonts w:ascii="Times New Roman" w:hAnsi="Times New Roman"/>
          <w:sz w:val="24"/>
          <w:szCs w:val="24"/>
        </w:rPr>
        <w:t xml:space="preserve"> </w:t>
      </w:r>
      <w:r w:rsidR="004A5576">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{"citationItems":[{"id":"ITEM-1","itemData":{"DOI":"10.1139/l11-077","ISSN":"03151468","abstract":"Concrete performance expectation has risen to satisfy the ever increasing societal needs alongside with the advancement of technology. Self-compacting geopolymer concrete (SCGC) is an improved way of concreting execution that does not need compaction and it is made by complete elimination of ordinary Portland cement content. This paper reports results of an experimental study on workability and development of compressive strength of SCGC prepared by thermal reaction of low calcium fly ash with sodium hydroxide, sodium silicate and super plasticizer. The effects of water to geopolymer solids on fresh properties such as filling ability, passing ability and resistance to segregation were studied. The fresh properties were assessed using slump flow, V-funnel, L-box and J-ring test methods. The basic requirements for flowability and resistance to segregation for self compacting according to European Federation of National Associations Representing Producers and Applicators of Specialist Building Products for Concrete (EFNARC) were satisfied. This paper also reports the effects of curing duration and temperature on the compressive strength development. The compressive strength of 51 MPa was obtained for self compacting geopolymer concrete cured at 70 °C for 48 h with water to geopolymer solids ratio of 0.33.","author":[{"dropping-particle":"","family":"Nuruddin","given":"Muhd Fadhil","non-dropping-particle":"","parse-names":false,"suffix":""},{"dropping-particle":"","family":"Demie","given":"Samuel","non-dropping-particle":"","parse-names":false,"suffix":""},{"dropping-particle":"","family":"Shafiq","given":"Nasir","non-dropping-particle":"","parse-names":false,"suffix":""}],"container-title":"Canadian Journal of Civil Engineering","id":"ITEM-1","issue":"11","issued":{"date-parts":[["2011"]]},"page":"1196-1203","title":"Effect of mix composition on workability and compressive strength of self-compacting geopolymer concrete","type":"article-journal","volume":"38"},"uris":["http://www.mendeley.com/documents/?uuid=4ea0b19d-8449-426f-abe0-433463d287dd"]}],"mendeley":{"formattedCitation":"[8]","plainTextFormattedCitation":"[8]","previouslyFormattedCitation":"[8]"},"properties":{"noteIndex":0},"schema":"https://github.com/citation-style-language/schema/raw/master/csl-citation.json"}</w:instrText>
      </w:r>
      <w:r w:rsidR="004A5576">
        <w:rPr>
          <w:rFonts w:ascii="Times New Roman" w:hAnsi="Times New Roman"/>
          <w:sz w:val="24"/>
          <w:szCs w:val="24"/>
        </w:rPr>
        <w:fldChar w:fldCharType="separate"/>
      </w:r>
      <w:r w:rsidR="004A5576" w:rsidRPr="004A5576">
        <w:rPr>
          <w:rFonts w:ascii="Times New Roman" w:hAnsi="Times New Roman"/>
          <w:noProof/>
          <w:sz w:val="24"/>
          <w:szCs w:val="24"/>
        </w:rPr>
        <w:t>[8]</w:t>
      </w:r>
      <w:r w:rsidR="004A5576">
        <w:rPr>
          <w:rFonts w:ascii="Times New Roman" w:hAnsi="Times New Roman"/>
          <w:sz w:val="24"/>
          <w:szCs w:val="24"/>
        </w:rPr>
        <w:fldChar w:fldCharType="end"/>
      </w:r>
      <w:r w:rsidR="00155E5F" w:rsidRPr="00155E5F">
        <w:rPr>
          <w:rFonts w:ascii="Times New Roman" w:hAnsi="Times New Roman"/>
          <w:sz w:val="24"/>
          <w:szCs w:val="24"/>
        </w:rPr>
        <w:t xml:space="preserve">. </w:t>
      </w:r>
      <w:r w:rsidRPr="008845FE">
        <w:rPr>
          <w:rFonts w:ascii="Times New Roman" w:hAnsi="Times New Roman"/>
          <w:sz w:val="24"/>
          <w:szCs w:val="24"/>
        </w:rPr>
        <w:t>After 48 hours of treatment, specimens were examined to determine the optimal SP dosage and necessary SCGC molarity. Because 6% was chosen as the optimum concentration, the SP dosage of 6% and the concentration of 12</w:t>
      </w:r>
      <w:r>
        <w:rPr>
          <w:rFonts w:ascii="Times New Roman" w:hAnsi="Times New Roman"/>
          <w:sz w:val="24"/>
          <w:szCs w:val="24"/>
        </w:rPr>
        <w:t xml:space="preserve"> </w:t>
      </w:r>
      <w:r w:rsidRPr="008845FE">
        <w:rPr>
          <w:rFonts w:ascii="Times New Roman" w:hAnsi="Times New Roman"/>
          <w:sz w:val="24"/>
          <w:szCs w:val="24"/>
        </w:rPr>
        <w:t xml:space="preserve">M NaOH provided acceptable performance. Compressive strength rises as the concentration of NaOH solution increases from 8 M to 12 M. At the age of 28 days, a dosage of 6% SP and a concentration of NaOH 12 was able to generate a concrete compressive strength of up to 51.52 MPa </w:t>
      </w:r>
      <w:r w:rsidR="004A5576">
        <w:rPr>
          <w:rFonts w:ascii="Times New Roman" w:hAnsi="Times New Roman"/>
          <w:sz w:val="24"/>
          <w:szCs w:val="24"/>
        </w:rPr>
        <w:fldChar w:fldCharType="begin" w:fldLock="1"/>
      </w:r>
      <w:r w:rsidR="004A5576">
        <w:rPr>
          <w:rFonts w:ascii="Times New Roman" w:hAnsi="Times New Roman"/>
          <w:sz w:val="24"/>
          <w:szCs w:val="24"/>
        </w:rPr>
        <w:instrText>ADDIN CSL_CITATION {"citationItems":[{"id":"ITEM-1","itemData":{"DOI":"10.1139/l11-077","ISSN":"03151468","abstract":"Concrete performance expectation has risen to satisfy the ever increasing societal needs alongside with the advancement of technology. Self-compacting geopolymer concrete (SCGC) is an improved way of concreting execution that does not need compaction and it is made by complete elimination of ordinary Portland cement content. This paper reports results of an experimental study on workability and development of compressive strength of SCGC prepared by thermal reaction of low calcium fly ash with sodium hydroxide, sodium silicate and super plasticizer. The effects of water to geopolymer solids on fresh properties such as filling ability, passing ability and resistance to segregation were studied. The fresh properties were assessed using slump flow, V-funnel, L-box and J-ring test methods. The basic requirements for flowability and resistance to segregation for self compacting according to European Federation of National Associations Representing Producers and Applicators of Specialist Building Products for Concrete (EFNARC) were satisfied. This paper also reports the effects of curing duration and temperature on the compressive strength development. The compressive strength of 51 MPa was obtained for self compacting geopolymer concrete cured at 70 °C for 48 h with water to geopolymer solids ratio of 0.33.","author":[{"dropping-particle":"","family":"Nuruddin","given":"Muhd Fadhil","non-dropping-particle":"","parse-names":false,"suffix":""},{"dropping-particle":"","family":"Demie","given":"Samuel","non-dropping-particle":"","parse-names":false,"suffix":""},{"dropping-particle":"","family":"Shafiq","given":"Nasir","non-dropping-particle":"","parse-names":false,"suffix":""}],"container-title":"Canadian Journal of Civil Engineering","id":"ITEM-1","issue":"11","issued":{"date-parts":[["2011"]]},"page":"1196-1203","title":"Effect of mix composition on workability and compressive strength of self-compacting geopolymer concrete","type":"article-journal","volume":"38"},"uris":["http://www.mendeley.com/documents/?uuid=4ea0b19d-8449-426f-abe0-433463d287dd"]}],"mendeley":{"formattedCitation":"[8]","plainTextFormattedCitation":"[8]","previouslyFormattedCitation":"[8]"},"properties":{"noteIndex":0},"schema":"https://github.com/citation-style-language/schema/raw/master/csl-citation.json"}</w:instrText>
      </w:r>
      <w:r w:rsidR="004A5576">
        <w:rPr>
          <w:rFonts w:ascii="Times New Roman" w:hAnsi="Times New Roman"/>
          <w:sz w:val="24"/>
          <w:szCs w:val="24"/>
        </w:rPr>
        <w:fldChar w:fldCharType="separate"/>
      </w:r>
      <w:r w:rsidR="004A5576" w:rsidRPr="004A5576">
        <w:rPr>
          <w:rFonts w:ascii="Times New Roman" w:hAnsi="Times New Roman"/>
          <w:noProof/>
          <w:sz w:val="24"/>
          <w:szCs w:val="24"/>
        </w:rPr>
        <w:t>[8]</w:t>
      </w:r>
      <w:r w:rsidR="004A5576">
        <w:rPr>
          <w:rFonts w:ascii="Times New Roman" w:hAnsi="Times New Roman"/>
          <w:sz w:val="24"/>
          <w:szCs w:val="24"/>
        </w:rPr>
        <w:fldChar w:fldCharType="end"/>
      </w:r>
      <w:r w:rsidR="004A5576">
        <w:rPr>
          <w:rFonts w:ascii="Times New Roman" w:hAnsi="Times New Roman"/>
          <w:sz w:val="24"/>
          <w:szCs w:val="24"/>
        </w:rPr>
        <w:t>.</w:t>
      </w:r>
    </w:p>
    <w:p w14:paraId="78E2895E" w14:textId="07BA1C30" w:rsidR="003D5D94" w:rsidRDefault="00277A2A" w:rsidP="00044AB1">
      <w:pPr>
        <w:spacing w:after="0" w:line="360" w:lineRule="auto"/>
        <w:ind w:left="270" w:firstLine="581"/>
        <w:jc w:val="both"/>
        <w:rPr>
          <w:rFonts w:ascii="Times New Roman" w:hAnsi="Times New Roman"/>
          <w:sz w:val="24"/>
          <w:szCs w:val="24"/>
          <w:lang w:val="id-ID"/>
        </w:rPr>
      </w:pPr>
      <w:r w:rsidRPr="00277A2A">
        <w:rPr>
          <w:rFonts w:ascii="Times New Roman" w:hAnsi="Times New Roman"/>
          <w:sz w:val="24"/>
          <w:szCs w:val="24"/>
        </w:rPr>
        <w:t>The compressive strength and split tensile strength of seawater-cured SCGC concrete and air-cured SCGC are discussed in this research. SCGC was synthesized utilizing NaOH and Na2SiO3 as activators, an alkali modulus of 2, and molarity fluctuations between 11 and 15 M.</w:t>
      </w:r>
    </w:p>
    <w:p w14:paraId="7D1BCAC6" w14:textId="77777777" w:rsidR="00A24CC1" w:rsidRDefault="00A24CC1" w:rsidP="00A92471">
      <w:pPr>
        <w:spacing w:after="0" w:line="240" w:lineRule="auto"/>
        <w:jc w:val="both"/>
        <w:rPr>
          <w:rFonts w:ascii="Times New Roman" w:hAnsi="Times New Roman"/>
          <w:sz w:val="24"/>
          <w:szCs w:val="24"/>
        </w:rPr>
      </w:pPr>
    </w:p>
    <w:p w14:paraId="15F8EB9A" w14:textId="1B16E9B8" w:rsidR="00A24CC1" w:rsidRPr="002567F7" w:rsidRDefault="002567F7" w:rsidP="00775257">
      <w:pPr>
        <w:pStyle w:val="ListParagraph"/>
        <w:numPr>
          <w:ilvl w:val="0"/>
          <w:numId w:val="42"/>
        </w:numPr>
        <w:spacing w:after="0" w:line="360" w:lineRule="auto"/>
        <w:ind w:left="630"/>
        <w:jc w:val="both"/>
        <w:rPr>
          <w:rFonts w:ascii="Times New Roman" w:hAnsi="Times New Roman"/>
          <w:sz w:val="24"/>
          <w:szCs w:val="24"/>
          <w:lang w:val="id-ID"/>
        </w:rPr>
      </w:pPr>
      <w:r>
        <w:rPr>
          <w:rFonts w:ascii="Times New Roman" w:hAnsi="Times New Roman"/>
          <w:b/>
          <w:sz w:val="24"/>
          <w:szCs w:val="24"/>
          <w:lang w:val="id-ID"/>
        </w:rPr>
        <w:t>Literature Review</w:t>
      </w:r>
    </w:p>
    <w:p w14:paraId="045E53B9" w14:textId="40F2D41E" w:rsidR="00155E5F" w:rsidRDefault="00277A2A" w:rsidP="00044AB1">
      <w:pPr>
        <w:spacing w:after="0" w:line="360" w:lineRule="auto"/>
        <w:ind w:left="270" w:firstLine="581"/>
        <w:jc w:val="both"/>
        <w:rPr>
          <w:rFonts w:ascii="Times New Roman" w:hAnsi="Times New Roman"/>
          <w:sz w:val="24"/>
          <w:szCs w:val="24"/>
        </w:rPr>
      </w:pPr>
      <w:r w:rsidRPr="00277A2A">
        <w:rPr>
          <w:rFonts w:ascii="Times New Roman" w:hAnsi="Times New Roman"/>
          <w:sz w:val="24"/>
          <w:szCs w:val="24"/>
        </w:rPr>
        <w:t>Geopolymer is a green substance that may be used in place of Portland cement in construction as a concrete repair material or as a structural element in overall building. SCGC is a relatively new idea and may be regarded the most significant advancement in the area of concrete technology. SCGC is a novel kind of material that does not need vibration to be placed and can be created by eliminating regular Portland from the mix</w:t>
      </w:r>
      <w:r>
        <w:rPr>
          <w:rFonts w:ascii="Times New Roman" w:hAnsi="Times New Roman"/>
          <w:sz w:val="24"/>
          <w:szCs w:val="24"/>
        </w:rPr>
        <w:t xml:space="preserve"> </w:t>
      </w:r>
      <w:r w:rsidR="004A5576">
        <w:rPr>
          <w:rFonts w:ascii="Times New Roman" w:hAnsi="Times New Roman"/>
          <w:sz w:val="24"/>
          <w:szCs w:val="24"/>
        </w:rPr>
        <w:fldChar w:fldCharType="begin" w:fldLock="1"/>
      </w:r>
      <w:r w:rsidR="00C646A8">
        <w:rPr>
          <w:rFonts w:ascii="Times New Roman" w:hAnsi="Times New Roman"/>
          <w:sz w:val="24"/>
          <w:szCs w:val="24"/>
        </w:rPr>
        <w:instrText>ADDIN CSL_CITATION {"citationItems":[{"id":"ITEM-1","itemData":{"author":[{"dropping-particle":"","family":"Memon","given":"FA;","non-dropping-particle":"","parse-names":false,"suffix":""},{"dropping-particle":"","family":"Nuruddin","given":"MF;","non-dropping-particle":"","parse-names":false,"suffix":""},{"dropping-particle":"","family":"Shafiq","given":"N","non-dropping-particle":"","parse-names":false,"suffix":""}],"container-title":"Jurnal Internasional Tekni Sipil dan Lingkungan","id":"ITEM-1","issue":"2","issued":{"date-parts":[["2011"]]},"page":"72-78","title":"Karakteristik kekuatan tekan dan kemampuan kerja beton geopolimer pemadatan mandiri berbasis abu laying rendah kalsium","type":"article-journal","volume":"3"},"uris":["http://www.mendeley.com/documents/?uuid=bfb58ee6-a070-4953-ab96-26f065eba2dc"]}],"mendeley":{"formattedCitation":"[9]","plainTextFormattedCitation":"[9]","previouslyFormattedCitation":"[9]"},"properties":{"noteIndex":0},"schema":"https://github.com/citation-style-language/schema/raw/master/csl-citation.json"}</w:instrText>
      </w:r>
      <w:r w:rsidR="004A5576">
        <w:rPr>
          <w:rFonts w:ascii="Times New Roman" w:hAnsi="Times New Roman"/>
          <w:sz w:val="24"/>
          <w:szCs w:val="24"/>
        </w:rPr>
        <w:fldChar w:fldCharType="separate"/>
      </w:r>
      <w:r w:rsidR="004A5576" w:rsidRPr="004A5576">
        <w:rPr>
          <w:rFonts w:ascii="Times New Roman" w:hAnsi="Times New Roman"/>
          <w:noProof/>
          <w:sz w:val="24"/>
          <w:szCs w:val="24"/>
        </w:rPr>
        <w:t>[9]</w:t>
      </w:r>
      <w:r w:rsidR="004A5576">
        <w:rPr>
          <w:rFonts w:ascii="Times New Roman" w:hAnsi="Times New Roman"/>
          <w:sz w:val="24"/>
          <w:szCs w:val="24"/>
        </w:rPr>
        <w:fldChar w:fldCharType="end"/>
      </w:r>
      <w:r w:rsidR="00155E5F" w:rsidRPr="00AA15EE">
        <w:rPr>
          <w:rFonts w:ascii="Times New Roman" w:hAnsi="Times New Roman"/>
          <w:sz w:val="24"/>
          <w:szCs w:val="24"/>
        </w:rPr>
        <w:t>.</w:t>
      </w:r>
    </w:p>
    <w:p w14:paraId="4F7A979E" w14:textId="7C77DC15" w:rsidR="004F790C" w:rsidRPr="00221762" w:rsidRDefault="00277A2A" w:rsidP="00044AB1">
      <w:pPr>
        <w:spacing w:after="0" w:line="360" w:lineRule="auto"/>
        <w:ind w:left="270" w:firstLine="581"/>
        <w:jc w:val="both"/>
        <w:rPr>
          <w:rFonts w:ascii="Times New Roman" w:eastAsia="Adobe Gothic Std B" w:hAnsi="Times New Roman"/>
          <w:sz w:val="24"/>
          <w:szCs w:val="24"/>
        </w:rPr>
      </w:pPr>
      <w:r w:rsidRPr="00277A2A">
        <w:rPr>
          <w:rFonts w:ascii="Times New Roman" w:hAnsi="Times New Roman"/>
          <w:spacing w:val="2"/>
          <w:sz w:val="24"/>
          <w:szCs w:val="24"/>
        </w:rPr>
        <w:lastRenderedPageBreak/>
        <w:t>The binder is the primary factor that distinguishes geopolymers from conventional concrete. When producing conventional concrete, coarse and fine particles are bound together using Portland cement and water</w:t>
      </w:r>
      <w:r w:rsidR="00C646A8">
        <w:rPr>
          <w:rFonts w:ascii="Times New Roman" w:hAnsi="Times New Roman"/>
          <w:spacing w:val="2"/>
          <w:sz w:val="24"/>
          <w:szCs w:val="24"/>
        </w:rPr>
        <w:t xml:space="preserve"> </w:t>
      </w:r>
      <w:r w:rsidR="00C646A8">
        <w:rPr>
          <w:rFonts w:ascii="Times New Roman" w:hAnsi="Times New Roman"/>
          <w:spacing w:val="2"/>
          <w:sz w:val="24"/>
          <w:szCs w:val="24"/>
        </w:rPr>
        <w:fldChar w:fldCharType="begin" w:fldLock="1"/>
      </w:r>
      <w:r w:rsidR="00C646A8">
        <w:rPr>
          <w:rFonts w:ascii="Times New Roman" w:hAnsi="Times New Roman"/>
          <w:spacing w:val="2"/>
          <w:sz w:val="24"/>
          <w:szCs w:val="24"/>
        </w:rPr>
        <w:instrText>ADDIN CSL_CITATION {"citationItems":[{"id":"ITEM-1","itemData":{"ISBN":"9781450714907","abstract":"Geopolymer concrete results from the reaction of a source material that is rich in silica and alumina with alkaline liquid. A summary of the extensive studies conducted on fly ash-based geopolymer concrete is presented. Test data are used to identify the effects of salient factors that influence the properties of the geopolymer concrete and to propose a simple method for the design of geopolymer concrete mixtures. Test data of various short-term and long-term properties of the geopolymer concrete and the results of the tests conducted on large-scale reinforced geopolymer concrete members show that geopolymer concrete is well-suited to manufacture precast concrete products that can be used in infrastructure developments. The paper also includes brief details of some recent applications of geopolymer concrete.","author":[{"dropping-particle":"","family":"Lloyd","given":"N. A.","non-dropping-particle":"","parse-names":false,"suffix":""},{"dropping-particle":"V.","family":"Rangan","given":"B.","non-dropping-particle":"","parse-names":false,"suffix":""}],"container-title":"2nd International Conference on Sustainable Construction Materials and Technologies","id":"ITEM-1","issued":{"date-parts":[["2010"]]},"page":"1493-1504","title":"Geopolymer concrete with fly ash","type":"article-journal","volume":"7"},"uris":["http://www.mendeley.com/documents/?uuid=d31bde60-ac7b-4d5c-b8fc-2f79694e08a2"]}],"mendeley":{"formattedCitation":"[10]","plainTextFormattedCitation":"[10]","previouslyFormattedCitation":"[10]"},"properties":{"noteIndex":0},"schema":"https://github.com/citation-style-language/schema/raw/master/csl-citation.json"}</w:instrText>
      </w:r>
      <w:r w:rsidR="00C646A8">
        <w:rPr>
          <w:rFonts w:ascii="Times New Roman" w:hAnsi="Times New Roman"/>
          <w:spacing w:val="2"/>
          <w:sz w:val="24"/>
          <w:szCs w:val="24"/>
        </w:rPr>
        <w:fldChar w:fldCharType="separate"/>
      </w:r>
      <w:r w:rsidR="00C646A8" w:rsidRPr="00C646A8">
        <w:rPr>
          <w:rFonts w:ascii="Times New Roman" w:hAnsi="Times New Roman"/>
          <w:noProof/>
          <w:spacing w:val="2"/>
          <w:sz w:val="24"/>
          <w:szCs w:val="24"/>
        </w:rPr>
        <w:t>[10]</w:t>
      </w:r>
      <w:r w:rsidR="00C646A8">
        <w:rPr>
          <w:rFonts w:ascii="Times New Roman" w:hAnsi="Times New Roman"/>
          <w:spacing w:val="2"/>
          <w:sz w:val="24"/>
          <w:szCs w:val="24"/>
        </w:rPr>
        <w:fldChar w:fldCharType="end"/>
      </w:r>
      <w:r w:rsidR="004F790C" w:rsidRPr="00221762">
        <w:rPr>
          <w:rFonts w:ascii="Times New Roman" w:hAnsi="Times New Roman"/>
          <w:spacing w:val="2"/>
          <w:sz w:val="24"/>
          <w:szCs w:val="24"/>
        </w:rPr>
        <w:t xml:space="preserve">. </w:t>
      </w:r>
      <w:r w:rsidRPr="00277A2A">
        <w:rPr>
          <w:rFonts w:ascii="Times New Roman" w:hAnsi="Times New Roman"/>
          <w:spacing w:val="2"/>
          <w:sz w:val="24"/>
          <w:szCs w:val="24"/>
        </w:rPr>
        <w:t>In geopolymer concrete, the silica and alumina in fly ash react with an alkaline liquid to create a geopolymer paste capable of bonding coarse aggregate, fine aggregate, and other components. The glue will harden as a result of the polymerization process. One of the distinctions between geopolymer and ordinary concrete is the way the concrete is treated</w:t>
      </w:r>
      <w:r w:rsidR="00C646A8">
        <w:rPr>
          <w:rFonts w:ascii="Times New Roman" w:hAnsi="Times New Roman"/>
          <w:spacing w:val="2"/>
          <w:sz w:val="24"/>
          <w:szCs w:val="24"/>
        </w:rPr>
        <w:t xml:space="preserve"> </w:t>
      </w:r>
      <w:r w:rsidR="00C646A8">
        <w:rPr>
          <w:rFonts w:ascii="Times New Roman" w:hAnsi="Times New Roman"/>
          <w:spacing w:val="2"/>
          <w:sz w:val="24"/>
          <w:szCs w:val="24"/>
        </w:rPr>
        <w:fldChar w:fldCharType="begin" w:fldLock="1"/>
      </w:r>
      <w:r w:rsidR="00C646A8">
        <w:rPr>
          <w:rFonts w:ascii="Times New Roman" w:hAnsi="Times New Roman"/>
          <w:spacing w:val="2"/>
          <w:sz w:val="24"/>
          <w:szCs w:val="24"/>
        </w:rPr>
        <w:instrText>ADDIN CSL_CITATION {"citationItems":[{"id":"ITEM-1","itemData":{"ISBN":"9781450714907","abstract":"Geopolymer concrete results from the reaction of a source material that is rich in silica and alumina with alkaline liquid. A summary of the extensive studies conducted on fly ash-based geopolymer concrete is presented. Test data are used to identify the effects of salient factors that influence the properties of the geopolymer concrete and to propose a simple method for the design of geopolymer concrete mixtures. Test data of various short-term and long-term properties of the geopolymer concrete and the results of the tests conducted on large-scale reinforced geopolymer concrete members show that geopolymer concrete is well-suited to manufacture precast concrete products that can be used in infrastructure developments. The paper also includes brief details of some recent applications of geopolymer concrete.","author":[{"dropping-particle":"","family":"Lloyd","given":"N. A.","non-dropping-particle":"","parse-names":false,"suffix":""},{"dropping-particle":"V.","family":"Rangan","given":"B.","non-dropping-particle":"","parse-names":false,"suffix":""}],"container-title":"2nd International Conference on Sustainable Construction Materials and Technologies","id":"ITEM-1","issued":{"date-parts":[["2010"]]},"page":"1493-1504","title":"Geopolymer concrete with fly ash","type":"article-journal","volume":"7"},"uris":["http://www.mendeley.com/documents/?uuid=d31bde60-ac7b-4d5c-b8fc-2f79694e08a2"]}],"mendeley":{"formattedCitation":"[10]","plainTextFormattedCitation":"[10]","previouslyFormattedCitation":"[10]"},"properties":{"noteIndex":0},"schema":"https://github.com/citation-style-language/schema/raw/master/csl-citation.json"}</w:instrText>
      </w:r>
      <w:r w:rsidR="00C646A8">
        <w:rPr>
          <w:rFonts w:ascii="Times New Roman" w:hAnsi="Times New Roman"/>
          <w:spacing w:val="2"/>
          <w:sz w:val="24"/>
          <w:szCs w:val="24"/>
        </w:rPr>
        <w:fldChar w:fldCharType="separate"/>
      </w:r>
      <w:r w:rsidR="00C646A8" w:rsidRPr="00C646A8">
        <w:rPr>
          <w:rFonts w:ascii="Times New Roman" w:hAnsi="Times New Roman"/>
          <w:noProof/>
          <w:spacing w:val="2"/>
          <w:sz w:val="24"/>
          <w:szCs w:val="24"/>
        </w:rPr>
        <w:t>[10]</w:t>
      </w:r>
      <w:r w:rsidR="00C646A8">
        <w:rPr>
          <w:rFonts w:ascii="Times New Roman" w:hAnsi="Times New Roman"/>
          <w:spacing w:val="2"/>
          <w:sz w:val="24"/>
          <w:szCs w:val="24"/>
        </w:rPr>
        <w:fldChar w:fldCharType="end"/>
      </w:r>
      <w:r w:rsidR="004F790C" w:rsidRPr="00221762">
        <w:rPr>
          <w:rFonts w:ascii="Times New Roman" w:hAnsi="Times New Roman"/>
          <w:spacing w:val="2"/>
          <w:sz w:val="24"/>
          <w:szCs w:val="24"/>
        </w:rPr>
        <w:t>.</w:t>
      </w:r>
    </w:p>
    <w:p w14:paraId="7850EB1A" w14:textId="01F217EB" w:rsidR="004F790C" w:rsidRDefault="00D20955" w:rsidP="00044AB1">
      <w:pPr>
        <w:spacing w:after="0" w:line="360" w:lineRule="auto"/>
        <w:ind w:left="270" w:firstLine="581"/>
        <w:jc w:val="both"/>
        <w:rPr>
          <w:rFonts w:ascii="Times New Roman" w:hAnsi="Times New Roman"/>
          <w:spacing w:val="2"/>
          <w:sz w:val="24"/>
          <w:szCs w:val="24"/>
        </w:rPr>
      </w:pPr>
      <w:r w:rsidRPr="00D20955">
        <w:rPr>
          <w:rFonts w:ascii="Times New Roman" w:hAnsi="Times New Roman"/>
          <w:sz w:val="24"/>
          <w:szCs w:val="24"/>
        </w:rPr>
        <w:t xml:space="preserve">Geopolymer is an ecologically friendly substance that may be used in place of Portland cement in construction as a concrete repair material or as a structural element in the overall structure. Geopolymers are inorganic synthetic polymers that generate three-dimensional polymer chains during alkaline chemical processes. The chemical composition of the raw materials and alkaline fluids controls the formation of the final geological polymerization product's microstructure and mechanical characteristics. Fly ash-based polymers are a new kind of binder that has a reduced environmental effect and increases the sustainability potential of concrete buildings </w:t>
      </w:r>
      <w:r w:rsidR="00C646A8">
        <w:rPr>
          <w:rFonts w:ascii="Times New Roman" w:hAnsi="Times New Roman"/>
          <w:spacing w:val="2"/>
          <w:sz w:val="24"/>
          <w:szCs w:val="24"/>
        </w:rPr>
        <w:fldChar w:fldCharType="begin" w:fldLock="1"/>
      </w:r>
      <w:r w:rsidR="002F598B">
        <w:rPr>
          <w:rFonts w:ascii="Times New Roman" w:hAnsi="Times New Roman"/>
          <w:spacing w:val="2"/>
          <w:sz w:val="24"/>
          <w:szCs w:val="24"/>
        </w:rPr>
        <w:instrText>ADDIN CSL_CITATION {"citationItems":[{"id":"ITEM-1","itemData":{"DOI":"10.1016/j.conbuildmat.2016.11.034","ISSN":"09500618","abstract":"Fly ash geopolymer is an emerging alternative binder with low environmental impact and potential to enhance sustainability of concrete construction. Most previous works examined the properties of fly ash-based geopolymer concrete (GPC) subjected to curing at elevated temperature. To extend the use of GPC in cast-in-situ applications, this paper investigated the properties of blended low-calcium fly ash geopolymer concrete cured in ambient condition. Geopolymer concretes were produced using low-calcium fly ash with a small percentage of additive such as ground granulated blast furnace slag (GGBFS), ordinary Portland cement (OPC) or hydrated lime to enhance early age properties. Samples were cured in room environment (18–23 °C and 70 ± 10% relative humidity) until tested. The results show that, density of hardened GPC mixtures is similar to that of normal-weight OPC concrete. Inclusion of additives enhanced the mechanical strengths significantly as compared to control concrete. For similar compressive strength, flexural strength of ambient cured GPC was higher than that of OPC concrete. Modulus of elasticity of ambient cured GPC tend to be lower than that of OPC concrete of similar grade. Prediction of elastic modulus by Standards and empirical equations for OPC concrete were found not conservative for GPC. Thus, an equation for conservative prediction of elastic modulus of GPC is proposed.","author":[{"dropping-particle":"","family":"Nath","given":"Pradip","non-dropping-particle":"","parse-names":false,"suffix":""},{"dropping-particle":"","family":"Sarker","given":"Prabir Kumar","non-dropping-particle":"","parse-names":false,"suffix":""}],"container-title":"Construction and Building Materials","id":"ITEM-1","issued":{"date-parts":[["2017","1"]]},"page":"22-31","title":"Flexural strength and elastic modulus of ambient-cured blended low-calcium fly ash geopolymer concrete","type":"article-journal","volume":"130"},"uris":["http://www.mendeley.com/documents/?uuid=2c3f8905-5d5b-4449-a6ad-3cf4807faf3d"]}],"mendeley":{"formattedCitation":"[11]","plainTextFormattedCitation":"[11]","previouslyFormattedCitation":"[11]"},"properties":{"noteIndex":0},"schema":"https://github.com/citation-style-language/schema/raw/master/csl-citation.json"}</w:instrText>
      </w:r>
      <w:r w:rsidR="00C646A8">
        <w:rPr>
          <w:rFonts w:ascii="Times New Roman" w:hAnsi="Times New Roman"/>
          <w:spacing w:val="2"/>
          <w:sz w:val="24"/>
          <w:szCs w:val="24"/>
        </w:rPr>
        <w:fldChar w:fldCharType="separate"/>
      </w:r>
      <w:r w:rsidR="00C646A8" w:rsidRPr="00C646A8">
        <w:rPr>
          <w:rFonts w:ascii="Times New Roman" w:hAnsi="Times New Roman"/>
          <w:noProof/>
          <w:spacing w:val="2"/>
          <w:sz w:val="24"/>
          <w:szCs w:val="24"/>
        </w:rPr>
        <w:t>[11]</w:t>
      </w:r>
      <w:r w:rsidR="00C646A8">
        <w:rPr>
          <w:rFonts w:ascii="Times New Roman" w:hAnsi="Times New Roman"/>
          <w:spacing w:val="2"/>
          <w:sz w:val="24"/>
          <w:szCs w:val="24"/>
        </w:rPr>
        <w:fldChar w:fldCharType="end"/>
      </w:r>
      <w:r w:rsidR="00C646A8">
        <w:rPr>
          <w:rFonts w:ascii="Times New Roman" w:hAnsi="Times New Roman"/>
          <w:spacing w:val="2"/>
          <w:sz w:val="24"/>
          <w:szCs w:val="24"/>
        </w:rPr>
        <w:t>.</w:t>
      </w:r>
    </w:p>
    <w:p w14:paraId="0F8871F5" w14:textId="23E6F6B8" w:rsidR="00C30D36" w:rsidRDefault="00D20955" w:rsidP="00044AB1">
      <w:pPr>
        <w:spacing w:after="0" w:line="360" w:lineRule="auto"/>
        <w:ind w:left="270" w:firstLine="581"/>
        <w:jc w:val="both"/>
        <w:rPr>
          <w:rFonts w:ascii="Times New Roman" w:hAnsi="Times New Roman"/>
          <w:spacing w:val="2"/>
          <w:sz w:val="24"/>
          <w:szCs w:val="24"/>
        </w:rPr>
      </w:pPr>
      <w:r w:rsidRPr="00D20955">
        <w:rPr>
          <w:rFonts w:ascii="Times New Roman" w:hAnsi="Times New Roman"/>
          <w:sz w:val="24"/>
          <w:szCs w:val="24"/>
        </w:rPr>
        <w:t>According to the SCC EFNARC standard</w:t>
      </w:r>
      <w:r>
        <w:rPr>
          <w:rFonts w:ascii="Times New Roman" w:hAnsi="Times New Roman"/>
          <w:sz w:val="24"/>
          <w:szCs w:val="24"/>
        </w:rPr>
        <w:t xml:space="preserve"> </w:t>
      </w:r>
      <w:r w:rsidR="00044AB1">
        <w:rPr>
          <w:rFonts w:ascii="Times New Roman" w:hAnsi="Times New Roman"/>
          <w:spacing w:val="2"/>
          <w:sz w:val="24"/>
          <w:szCs w:val="24"/>
        </w:rPr>
        <w:fldChar w:fldCharType="begin" w:fldLock="1"/>
      </w:r>
      <w:r w:rsidR="00A676CE">
        <w:rPr>
          <w:rFonts w:ascii="Times New Roman" w:hAnsi="Times New Roman"/>
          <w:spacing w:val="2"/>
          <w:sz w:val="24"/>
          <w:szCs w:val="24"/>
        </w:rPr>
        <w:instrText>ADDIN CSL_CITATION {"citationItems":[{"id":"ITEM-1","itemData":{"author":[{"dropping-particle":"","family":"EFNARC","given":"","non-dropping-particle":"","parse-names":false,"suffix":""}],"id":"ITEM-1","issued":{"date-parts":[["2005"]]},"publisher-place":"UK","title":"The European Guidelines for Self-Compacting Concrete: Specification, Production and Use","type":"book"},"uris":["http://www.mendeley.com/documents/?uuid=263a662d-0283-4fb4-9ec0-341de58d8a52"]}],"mendeley":{"formattedCitation":"[3]","plainTextFormattedCitation":"[3]","previouslyFormattedCitation":"[3]"},"properties":{"noteIndex":0},"schema":"https://github.com/citation-style-language/schema/raw/master/csl-citation.json"}</w:instrText>
      </w:r>
      <w:r w:rsidR="00044AB1">
        <w:rPr>
          <w:rFonts w:ascii="Times New Roman" w:hAnsi="Times New Roman"/>
          <w:spacing w:val="2"/>
          <w:sz w:val="24"/>
          <w:szCs w:val="24"/>
        </w:rPr>
        <w:fldChar w:fldCharType="separate"/>
      </w:r>
      <w:r w:rsidR="00044AB1" w:rsidRPr="00044AB1">
        <w:rPr>
          <w:rFonts w:ascii="Times New Roman" w:hAnsi="Times New Roman"/>
          <w:noProof/>
          <w:spacing w:val="2"/>
          <w:sz w:val="24"/>
          <w:szCs w:val="24"/>
        </w:rPr>
        <w:t>[3]</w:t>
      </w:r>
      <w:r w:rsidR="00044AB1">
        <w:rPr>
          <w:rFonts w:ascii="Times New Roman" w:hAnsi="Times New Roman"/>
          <w:spacing w:val="2"/>
          <w:sz w:val="24"/>
          <w:szCs w:val="24"/>
        </w:rPr>
        <w:fldChar w:fldCharType="end"/>
      </w:r>
      <w:r w:rsidR="00C30D36" w:rsidRPr="00221762">
        <w:rPr>
          <w:rFonts w:ascii="Times New Roman" w:hAnsi="Times New Roman"/>
          <w:spacing w:val="2"/>
          <w:sz w:val="24"/>
          <w:szCs w:val="24"/>
        </w:rPr>
        <w:t xml:space="preserve">, </w:t>
      </w:r>
      <w:r w:rsidRPr="00D20955">
        <w:rPr>
          <w:rFonts w:ascii="Times New Roman" w:hAnsi="Times New Roman"/>
          <w:spacing w:val="2"/>
          <w:sz w:val="24"/>
          <w:szCs w:val="24"/>
        </w:rPr>
        <w:t>if the following criteria are fulfilled, the workability or fatigue of a new concrete mix may be referred to as SCC concrete</w:t>
      </w:r>
      <w:r>
        <w:rPr>
          <w:rFonts w:ascii="Times New Roman" w:hAnsi="Times New Roman"/>
          <w:spacing w:val="2"/>
          <w:sz w:val="24"/>
          <w:szCs w:val="24"/>
        </w:rPr>
        <w:t>:</w:t>
      </w:r>
    </w:p>
    <w:p w14:paraId="5854CC49" w14:textId="77777777" w:rsidR="00D20955"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Filling capacity: The capacity of SCC concrete to support its own weight and completely fill the mold. The Abrams cone slump test may be used to evaluate the workability of concrete by comparing it to the workability of new concrete with a diameter of 60–75 cm.</w:t>
      </w:r>
    </w:p>
    <w:p w14:paraId="69A345DD" w14:textId="77777777" w:rsidR="00D20955"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Passing ability: L-shaped Box refers to the capacity of SCC concrete to flow freely through gaps between steel bars or small holes in the mold. The rate value will be determined, which is determined by the H2 / H1 ratio. The greater the blocking rate, the more fluid new concrete is at a given viscosity. The block rate value for SCC-specific standards is between 0.8 and 1.0.</w:t>
      </w:r>
    </w:p>
    <w:p w14:paraId="3417C90B" w14:textId="2D191BD5" w:rsidR="00C30D36" w:rsidRPr="00D20955" w:rsidRDefault="00D20955" w:rsidP="00044AB1">
      <w:pPr>
        <w:numPr>
          <w:ilvl w:val="0"/>
          <w:numId w:val="36"/>
        </w:numPr>
        <w:spacing w:after="0" w:line="360" w:lineRule="auto"/>
        <w:ind w:left="720" w:hanging="450"/>
        <w:jc w:val="both"/>
        <w:rPr>
          <w:rFonts w:ascii="Times New Roman" w:hAnsi="Times New Roman"/>
          <w:iCs/>
          <w:sz w:val="24"/>
          <w:szCs w:val="24"/>
          <w:lang w:val="id-ID"/>
        </w:rPr>
      </w:pPr>
      <w:r w:rsidRPr="00D20955">
        <w:rPr>
          <w:rFonts w:ascii="Times New Roman" w:hAnsi="Times New Roman"/>
          <w:iCs/>
          <w:sz w:val="24"/>
          <w:szCs w:val="24"/>
          <w:lang w:val="id-ID"/>
        </w:rPr>
        <w:t>Resistance to segregation: The V-Funnel Test determines the capacity of SCC concrete to retain a consistent composition from transport through casting.   The V-shaped funnel test is used to determine the viscosity of new concrete, which runs straight into the mouth of the V-shaped funnel's bottom end. The measurement duration is between 3 and 15 seconds.</w:t>
      </w:r>
      <w:r w:rsidR="00C30D36" w:rsidRPr="00D20955">
        <w:rPr>
          <w:rFonts w:ascii="Times New Roman" w:hAnsi="Times New Roman"/>
          <w:iCs/>
          <w:spacing w:val="2"/>
          <w:sz w:val="24"/>
          <w:szCs w:val="24"/>
        </w:rPr>
        <w:t xml:space="preserve"> </w:t>
      </w:r>
    </w:p>
    <w:p w14:paraId="0583E096" w14:textId="1C151BD0" w:rsidR="00757C89" w:rsidRPr="00CC0867" w:rsidRDefault="00CC0867" w:rsidP="00E056E6">
      <w:pPr>
        <w:numPr>
          <w:ilvl w:val="0"/>
          <w:numId w:val="36"/>
        </w:numPr>
        <w:spacing w:after="0" w:line="360" w:lineRule="auto"/>
        <w:ind w:left="720" w:hanging="450"/>
        <w:jc w:val="both"/>
        <w:rPr>
          <w:rFonts w:ascii="Times New Roman" w:hAnsi="Times New Roman"/>
          <w:sz w:val="24"/>
          <w:szCs w:val="24"/>
        </w:rPr>
      </w:pPr>
      <w:r w:rsidRPr="00CC0867">
        <w:rPr>
          <w:rFonts w:ascii="Times New Roman" w:hAnsi="Times New Roman"/>
          <w:sz w:val="24"/>
          <w:szCs w:val="24"/>
          <w:lang w:val="id-ID"/>
        </w:rPr>
        <w:t xml:space="preserve">In previous research, fly ash from PLTU Jenneponto was utilized in mortars </w:t>
      </w:r>
      <w:r w:rsidR="002F598B" w:rsidRPr="00CC0867">
        <w:rPr>
          <w:rFonts w:ascii="Times New Roman" w:hAnsi="Times New Roman"/>
          <w:sz w:val="24"/>
          <w:szCs w:val="24"/>
        </w:rPr>
        <w:fldChar w:fldCharType="begin" w:fldLock="1"/>
      </w:r>
      <w:r w:rsidR="002F598B" w:rsidRPr="00CC0867">
        <w:rPr>
          <w:rFonts w:ascii="Times New Roman" w:hAnsi="Times New Roman"/>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mortar","type":"article-journal","volume":"15"},"uris":["http://www.mendeley.com/documents/?uuid=657d336e-0b70-4bad-afa0-0706b83df0ba"]},{"id":"ITEM-2","itemData":{"ISSN":"1819-6608","abstract":"Fly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Sciences","id":"ITEM-2","issue":"5","issued":{"date-parts":[["2020"]]},"page":"1-6","title":"Correlation of NAOH composition and alkali modulus to compressive strength on geopolymers mortar","type":"article-journal","volume":"15"},"uris":["http://www.mendeley.com/documents/?uuid=69e08252-9895-4840-9985-fa53ae5a0845"]},{"id":"ITEM-3","itemData":{"ISSN":"09766316","abstract":"Industry in the production of cement produces the effects of CO2 gas which damage the environment. For this reason, it is necessary to look for partial or complete replacement material with environmentally friendly materials. In Indonesia, especially in South Sulawesi, there is industrial waste fly ash from Steam Power Plants (PLTU) which are rich in silica and aluminum which it does not use optimally. Fly ash contains silica and aluminum which it uses as strong binders through the polymerization process. The research objective was to determine the development of compressive strength of geopolymer mortar with different fly ash bases and different curing methods. The research method used is the experimental method in the laboratory. The technique in making and testing mortar samples refers to SNI 03- 6825-2002. The composition of geopolymer mortar uses a ratio of fly ash: sand of 1: 2.75, and 10 Molar NaOH, the ratio of the Na2SiO3 with NaOH is 2, the ratio of the activator with fly ash is 0.3. The results showed that The development of compressive strength values in geopolymer mortar along with increasing age. The amount of compressive strength influenced by the type of fly ash and the curing method performed. Geopolymer mortar base on fly ash A (FAA) and geopolymer mortar based on fly ash B (FAB) have a high compressive strength difference. The difference in compressive strength occurs in both curing variations with the average temperature and with temperature 85oC.","author":[{"dropping-particle":"","family":"Bachtiar","given":"Erniati","non-dropping-particle":"","parse-names":false,"suffix":""},{"dropping-particle":"","family":"Setiawan","given":"Asri Mulya","non-dropping-particle":"","parse-names":false,"suffix":""},{"dropping-particle":"","family":"Rachim","given":"Fatmawaty","non-dropping-particle":"","parse-names":false,"suffix":""},{"dropping-particle":"","family":"Putri","given":"Herwina Rahayu","non-dropping-particle":"","parse-names":false,"suffix":""},{"dropping-particle":"","family":"Marzuki","given":"Ismail","non-dropping-particle":"","parse-names":false,"suffix":""},{"dropping-particle":"","family":"Chaerul","given":"Muhammad","non-dropping-particle":"","parse-names":false,"suffix":""},{"dropping-particle":"","family":"Sinardi","given":"","non-dropping-particle":"","parse-names":false,"suffix":""}],"container-title":"International Journal of Civil Engineering and Technology","id":"ITEM-3","issue":"10","issued":{"date-parts":[["2018"]]},"page":"1465-1472","title":"The development of compressive strength on geopolymer mortar using fly ash as based material in South Sulawesi","type":"article-journal","volume":"9"},"uris":["http://www.mendeley.com/documents/?uuid=df940ae1-2dfd-4f80-9e78-e163e35b22ce"]},{"id":"ITEM-4","itemData":{"DOI":"10.1088/1757-899X/885/1/012019","ISSN":"1757899X","abstract":"Infrastructure development in Indonesia has increased. Therefore, the use of cement has increased as well. For this reason, it is necessary to replace the replacement cement material with environmentally friendly material. Fly ash is one of the waste materials that can be used as a substitute for cement. The purpose of this paper is to determine the compressive strength values of geopolymer mortars using fly ash-based from different Thermal Power Station and to determine the relationship of temperature curing with the compressive strength on geopolymer mortars using fly ash-based. The fly ash used was obtained from two Thermal Power Station in South Sulawesi, Indonesia. The sample is in the form of a cube with 5 cm × 5 cm size, with variations in room temperature; 65°C, 85°C, and 105°C. Activators used were Na2SiO3 and NaOH with 10 M with a ratio of Na2SiO3 per NaOH of 2. Compressive strength tests were carried out at 28 days. From the results of the study that the compressive strength of geopolymer mortar based on fly ash-Thermal Power Station A is higher than the compressive strength value of geopolymer mortar based on fly ash-Thermal Power Station B. The relationship of compressive strength with curing treatment with geopolymer mortar temperature variations is very significant. The higher the temperature, the higher the compressive strength of the mortar.","author":[{"dropping-particle":"","family":"Bachtiar","given":"E.","non-dropping-particle":"","parse-names":false,"suffix":""},{"dropping-particle":"","family":"Marzuki","given":"I.","non-dropping-particle":"","parse-names":false,"suffix":""},{"dropping-particle":"","family":"Erdawaty","given":"","non-dropping-particle":"","parse-names":false,"suffix":""},{"dropping-particle":"","family":"Junaedy","given":"M. F.","non-dropping-particle":"","parse-names":false,"suffix":""},{"dropping-particle":"","family":"Ramadhan","given":"F.","non-dropping-particle":"","parse-names":false,"suffix":""},{"dropping-particle":"","family":"Setiawan","given":"A. M.","non-dropping-particle":"","parse-names":false,"suffix":""},{"dropping-particle":"","family":"Rachim","given":"F.","non-dropping-particle":"","parse-names":false,"suffix":""}],"container-title":"IOP Conference Series: Materials Science and Engineering","id":"ITEM-4","issue":"1","issued":{"date-parts":[["2020"]]},"title":"The Relationship of Temperature and Compressive Strength on Geopolymer Mortar using Fly Ash-Based","type":"article-journal","volume":"885"},"uris":["http://www.mendeley.com/documents/?uuid=2221363a-5258-4899-a06c-faec9eb80d1d"]}],"mendeley":{"formattedCitation":"[1], [2], [4], [12]","plainTextFormattedCitation":"[1], [2], [4], [12]","previouslyFormattedCitation":"[1], [2], [4], [12]"},"properties":{"noteIndex":0},"schema":"https://github.com/citation-style-language/schema/raw/master/csl-citation.json"}</w:instrText>
      </w:r>
      <w:r w:rsidR="002F598B" w:rsidRPr="00CC0867">
        <w:rPr>
          <w:rFonts w:ascii="Times New Roman" w:hAnsi="Times New Roman"/>
          <w:sz w:val="24"/>
          <w:szCs w:val="24"/>
        </w:rPr>
        <w:fldChar w:fldCharType="separate"/>
      </w:r>
      <w:r w:rsidR="002F598B" w:rsidRPr="00CC0867">
        <w:rPr>
          <w:rFonts w:ascii="Times New Roman" w:hAnsi="Times New Roman"/>
          <w:noProof/>
          <w:sz w:val="24"/>
          <w:szCs w:val="24"/>
        </w:rPr>
        <w:t>[1], [2], [4], [12]</w:t>
      </w:r>
      <w:r w:rsidR="002F598B" w:rsidRPr="00CC0867">
        <w:rPr>
          <w:rFonts w:ascii="Times New Roman" w:hAnsi="Times New Roman"/>
          <w:sz w:val="24"/>
          <w:szCs w:val="24"/>
        </w:rPr>
        <w:fldChar w:fldCharType="end"/>
      </w:r>
      <w:r w:rsidR="002F598B" w:rsidRPr="00CC0867">
        <w:rPr>
          <w:rFonts w:ascii="Times New Roman" w:hAnsi="Times New Roman"/>
          <w:sz w:val="24"/>
          <w:szCs w:val="24"/>
        </w:rPr>
        <w:t xml:space="preserve">. </w:t>
      </w:r>
      <w:r w:rsidRPr="00CC0867">
        <w:rPr>
          <w:rFonts w:ascii="Times New Roman" w:hAnsi="Times New Roman"/>
          <w:sz w:val="24"/>
          <w:szCs w:val="24"/>
          <w:lang w:val="id-ID"/>
        </w:rPr>
        <w:t xml:space="preserve">This resulted in a very significant connection between the effect of </w:t>
      </w:r>
      <w:r w:rsidRPr="00CC0867">
        <w:rPr>
          <w:rFonts w:ascii="Times New Roman" w:hAnsi="Times New Roman"/>
          <w:sz w:val="24"/>
          <w:szCs w:val="24"/>
          <w:lang w:val="id-ID"/>
        </w:rPr>
        <w:lastRenderedPageBreak/>
        <w:t xml:space="preserve">sodium hydroxide and alkali modulus on mortar strength. All variants have the greatest compressive strength at 14 M. The connection between activator composition and compressive strength is represented by a second-order polynomial equation, with the optimal composition occurring between 14 and 15 M NaOH </w:t>
      </w:r>
      <w:r w:rsidR="000243AE" w:rsidRPr="00CC0867">
        <w:rPr>
          <w:rFonts w:ascii="Times New Roman" w:hAnsi="Times New Roman"/>
          <w:sz w:val="24"/>
          <w:szCs w:val="24"/>
        </w:rPr>
        <w:fldChar w:fldCharType="begin" w:fldLock="1"/>
      </w:r>
      <w:r w:rsidR="004A5576" w:rsidRPr="00CC0867">
        <w:rPr>
          <w:rFonts w:ascii="Times New Roman" w:hAnsi="Times New Roman"/>
          <w:sz w:val="24"/>
          <w:szCs w:val="24"/>
        </w:rPr>
        <w:instrText>ADDIN CSL_CITATION {"citationItems":[{"id":"ITEM-1","itemData":{"ISSN":"1819-6608","abstract":"Fly ash is a side waste from the cement industry that can damage the environment. Fly ash has the potential as an essential material in making geopolymers. The study discusses how the relationship of the use of activator composition with the compressive strength of geopolymer mortar using fly ash. The sample uses activator sie NaOH and Na2SiO3. The sample uses several variations of NaOH composition and alkali modulus. NaOH variations consist of 13 M, 14 M, 15 M, and 16 M. Variations in alkali modulus include 1.5, 1.75, 2.00, 2.25, and 2.50. Treatment of samples according to room temperature and compressive strength testing was carried out at 7, 14, 28, and 56 days. Research has shown that the correlation between NaOH and alkali modulus on mortar strength is very significant. The highest compressive strength occurs at 14 M of all variations. The relationship of activator composition and compressive strength form 2nd polynomial equation order and NaOH optimum composition occurs between 14 and 15 M.","author":[{"dropping-particle":"","family":"Bachtiar","given":"Erniati","non-dropping-particle":"","parse-names":false,"suffix":""},{"dropping-particle":"","family":"Marzuki","given":"Ismail","non-dropping-particle":"","parse-names":false,"suffix":""},{"dropping-particle":"","family":"Setiawan","given":"Asri Mulya","non-dropping-particle":"","parse-names":false,"suffix":""},{"dropping-particle":"","family":"Nurpadli","given":"A M","non-dropping-particle":"","parse-names":false,"suffix":""}],"container-title":"ARPN Journal of Engineering and Applied Sciences","id":"ITEM-1","issue":"5","issued":{"date-parts":[["2020"]]},"page":"1-6","title":"Correlation of NAOH composition and alkali modulus to compressive strength on geopolymers mortar","type":"article-journal","volume":"15"},"uris":["http://www.mendeley.com/documents/?uuid=69e08252-9895-4840-9985-fa53ae5a0845"]}],"mendeley":{"formattedCitation":"[2]","plainTextFormattedCitation":"[2]","previouslyFormattedCitation":"[2]"},"properties":{"noteIndex":0},"schema":"https://github.com/citation-style-language/schema/raw/master/csl-citation.json"}</w:instrText>
      </w:r>
      <w:r w:rsidR="000243AE" w:rsidRPr="00CC0867">
        <w:rPr>
          <w:rFonts w:ascii="Times New Roman" w:hAnsi="Times New Roman"/>
          <w:sz w:val="24"/>
          <w:szCs w:val="24"/>
        </w:rPr>
        <w:fldChar w:fldCharType="separate"/>
      </w:r>
      <w:r w:rsidR="00694CB8" w:rsidRPr="00CC0867">
        <w:rPr>
          <w:rFonts w:ascii="Times New Roman" w:hAnsi="Times New Roman"/>
          <w:noProof/>
          <w:sz w:val="24"/>
          <w:szCs w:val="24"/>
        </w:rPr>
        <w:t>[2]</w:t>
      </w:r>
      <w:r w:rsidR="000243AE" w:rsidRPr="00CC0867">
        <w:rPr>
          <w:rFonts w:ascii="Times New Roman" w:hAnsi="Times New Roman"/>
          <w:sz w:val="24"/>
          <w:szCs w:val="24"/>
        </w:rPr>
        <w:fldChar w:fldCharType="end"/>
      </w:r>
      <w:r w:rsidR="00C646A8" w:rsidRPr="00CC0867">
        <w:rPr>
          <w:rFonts w:ascii="Times New Roman" w:hAnsi="Times New Roman"/>
          <w:sz w:val="24"/>
          <w:szCs w:val="24"/>
        </w:rPr>
        <w:t xml:space="preserve">. </w:t>
      </w:r>
      <w:r w:rsidRPr="00CC0867">
        <w:rPr>
          <w:rFonts w:ascii="Times New Roman" w:hAnsi="Times New Roman"/>
          <w:spacing w:val="2"/>
          <w:sz w:val="24"/>
          <w:szCs w:val="24"/>
        </w:rPr>
        <w:t xml:space="preserve">The compressive strength of geopolymer mortar is significantly related to the temperature and time of the curing oven </w:t>
      </w:r>
      <w:r w:rsidR="002F598B" w:rsidRPr="00CC0867">
        <w:rPr>
          <w:rFonts w:ascii="Times New Roman" w:hAnsi="Times New Roman"/>
          <w:spacing w:val="2"/>
          <w:sz w:val="24"/>
          <w:szCs w:val="24"/>
        </w:rPr>
        <w:fldChar w:fldCharType="begin" w:fldLock="1"/>
      </w:r>
      <w:r w:rsidR="002F598B" w:rsidRPr="00CC0867">
        <w:rPr>
          <w:rFonts w:ascii="Times New Roman" w:hAnsi="Times New Roman"/>
          <w:spacing w:val="2"/>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mendeley":{"formattedCitation":"[4]","plainTextFormattedCitation":"[4]","previouslyFormattedCitation":"[4]"},"properties":{"noteIndex":0},"schema":"https://github.com/citation-style-language/schema/raw/master/csl-citation.json"}</w:instrText>
      </w:r>
      <w:r w:rsidR="002F598B" w:rsidRPr="00CC0867">
        <w:rPr>
          <w:rFonts w:ascii="Times New Roman" w:hAnsi="Times New Roman"/>
          <w:spacing w:val="2"/>
          <w:sz w:val="24"/>
          <w:szCs w:val="24"/>
        </w:rPr>
        <w:fldChar w:fldCharType="separate"/>
      </w:r>
      <w:r w:rsidR="002F598B" w:rsidRPr="00CC0867">
        <w:rPr>
          <w:rFonts w:ascii="Times New Roman" w:hAnsi="Times New Roman"/>
          <w:noProof/>
          <w:spacing w:val="2"/>
          <w:sz w:val="24"/>
          <w:szCs w:val="24"/>
        </w:rPr>
        <w:t>[4]</w:t>
      </w:r>
      <w:r w:rsidR="002F598B" w:rsidRPr="00CC0867">
        <w:rPr>
          <w:rFonts w:ascii="Times New Roman" w:hAnsi="Times New Roman"/>
          <w:spacing w:val="2"/>
          <w:sz w:val="24"/>
          <w:szCs w:val="24"/>
        </w:rPr>
        <w:fldChar w:fldCharType="end"/>
      </w:r>
      <w:r w:rsidR="00C646A8" w:rsidRPr="00CC0867">
        <w:rPr>
          <w:rFonts w:ascii="Times New Roman" w:hAnsi="Times New Roman"/>
          <w:spacing w:val="2"/>
          <w:sz w:val="24"/>
          <w:szCs w:val="24"/>
        </w:rPr>
        <w:t xml:space="preserve">. </w:t>
      </w:r>
      <w:r w:rsidRPr="00CC0867">
        <w:rPr>
          <w:rFonts w:ascii="Times New Roman" w:hAnsi="Times New Roman"/>
          <w:spacing w:val="2"/>
          <w:sz w:val="24"/>
          <w:szCs w:val="24"/>
        </w:rPr>
        <w:t>Duration and compressive strength are related by a positive non-linear polynomial relationship. Curing at 105</w:t>
      </w:r>
      <w:r w:rsidRPr="00CC0867">
        <w:rPr>
          <w:rFonts w:ascii="Times New Roman" w:hAnsi="Times New Roman"/>
          <w:spacing w:val="2"/>
          <w:sz w:val="24"/>
          <w:szCs w:val="24"/>
          <w:vertAlign w:val="superscript"/>
        </w:rPr>
        <w:t>o</w:t>
      </w:r>
      <w:r w:rsidRPr="00CC0867">
        <w:rPr>
          <w:rFonts w:ascii="Times New Roman" w:hAnsi="Times New Roman"/>
          <w:spacing w:val="2"/>
          <w:sz w:val="24"/>
          <w:szCs w:val="24"/>
        </w:rPr>
        <w:t>C and for 8 hours is the optimum temperature and time for type C geopolymer mortar foundation</w:t>
      </w:r>
      <w:r w:rsidR="002F598B" w:rsidRPr="00CC0867">
        <w:rPr>
          <w:rFonts w:ascii="Times New Roman" w:hAnsi="Times New Roman"/>
          <w:spacing w:val="2"/>
          <w:sz w:val="24"/>
          <w:szCs w:val="24"/>
        </w:rPr>
        <w:t xml:space="preserve"> </w:t>
      </w:r>
      <w:r w:rsidR="002F598B" w:rsidRPr="00CC0867">
        <w:rPr>
          <w:rFonts w:ascii="Times New Roman" w:hAnsi="Times New Roman"/>
          <w:spacing w:val="2"/>
          <w:sz w:val="24"/>
          <w:szCs w:val="24"/>
        </w:rPr>
        <w:fldChar w:fldCharType="begin" w:fldLock="1"/>
      </w:r>
      <w:r w:rsidR="002F598B" w:rsidRPr="00CC0867">
        <w:rPr>
          <w:rFonts w:ascii="Times New Roman" w:hAnsi="Times New Roman"/>
          <w:spacing w:val="2"/>
          <w:sz w:val="24"/>
          <w:szCs w:val="24"/>
        </w:rPr>
        <w:instrText>ADDIN CSL_CITATION {"citationItems":[{"id":"ITEM-1","itemData":{"ISSN":"1819-6608","abstract":"Oven curing gives effect to the strength of geopolymer mortar. The geopolymer mortar treated by curing oven with measured duration and temperature. Temperature and term used in the oven curing on the geopolymer mortar. They affect the strength of geopolymer mortar. This study aimed to determine the connection of duration and temperature used in the curing oven to the compressive strength of C-type fly ash based geopolymer mortar. The constituent material of geopolymer mortar is activators, fly ash, and sand-the activator using NaOH and Na2SiO3. A comparison of fly ash and sand is 1: 2.75. Comparison NaOH: Na2SiO3 is 1: 2 and 10 M NaOH. Oven temperature variations used45 o C, 65 o C, 85 o C, 105 o C, and 125 o C, and differences in the duration of use 20 hours, 10 hours, 8 hours, 6 hours, and 4 hours. The results showed that the connection of temperature and term used in the oven curing of the compressive strength of geopolymer mortar is significant. The relationship between duration and compressive strength has a non-linear polynomial equation negative. The period and temperature optimal for curing C-type Fly Ash based geopolymer mortar is the temperature of 105oC and the duration of 8 hours.","author":[{"dropping-particle":"","family":"Bachtiar","given":"Erniati","non-dropping-particle":"","parse-names":false,"suffix":""}],"container-title":"ARPN Journal of Engineering and Applied Sciences","id":"ITEM-1","issue":"5","issued":{"date-parts":[["2020"]]},"page":"1-6","title":"The connection between oven curing duration and compressive strength on C-type fly ash based-Geopolymer mortar","type":"article-journal","volume":"15"},"uris":["http://www.mendeley.com/documents/?uuid=657d336e-0b70-4bad-afa0-0706b83df0ba"]}],"mendeley":{"formattedCitation":"[4]","plainTextFormattedCitation":"[4]","previouslyFormattedCitation":"[4]"},"properties":{"noteIndex":0},"schema":"https://github.com/citation-style-language/schema/raw/master/csl-citation.json"}</w:instrText>
      </w:r>
      <w:r w:rsidR="002F598B" w:rsidRPr="00CC0867">
        <w:rPr>
          <w:rFonts w:ascii="Times New Roman" w:hAnsi="Times New Roman"/>
          <w:spacing w:val="2"/>
          <w:sz w:val="24"/>
          <w:szCs w:val="24"/>
        </w:rPr>
        <w:fldChar w:fldCharType="separate"/>
      </w:r>
      <w:r w:rsidR="002F598B" w:rsidRPr="00CC0867">
        <w:rPr>
          <w:rFonts w:ascii="Times New Roman" w:hAnsi="Times New Roman"/>
          <w:noProof/>
          <w:spacing w:val="2"/>
          <w:sz w:val="24"/>
          <w:szCs w:val="24"/>
        </w:rPr>
        <w:t>[4]</w:t>
      </w:r>
      <w:r w:rsidR="002F598B" w:rsidRPr="00CC0867">
        <w:rPr>
          <w:rFonts w:ascii="Times New Roman" w:hAnsi="Times New Roman"/>
          <w:spacing w:val="2"/>
          <w:sz w:val="24"/>
          <w:szCs w:val="24"/>
        </w:rPr>
        <w:fldChar w:fldCharType="end"/>
      </w:r>
      <w:r w:rsidR="002F598B" w:rsidRPr="00CC0867">
        <w:rPr>
          <w:rFonts w:ascii="Times New Roman" w:hAnsi="Times New Roman"/>
          <w:spacing w:val="2"/>
          <w:sz w:val="24"/>
          <w:szCs w:val="24"/>
        </w:rPr>
        <w:t>.</w:t>
      </w:r>
    </w:p>
    <w:p w14:paraId="046E7EEE" w14:textId="4B973474" w:rsidR="00155E5F" w:rsidRPr="00CC0867" w:rsidRDefault="00CC0867" w:rsidP="00E056E6">
      <w:pPr>
        <w:spacing w:before="240" w:after="0" w:line="360" w:lineRule="auto"/>
        <w:ind w:left="270" w:firstLine="450"/>
        <w:jc w:val="both"/>
        <w:rPr>
          <w:rFonts w:ascii="Times New Roman" w:hAnsi="Times New Roman"/>
          <w:sz w:val="24"/>
          <w:szCs w:val="24"/>
          <w:lang w:val="id-ID"/>
        </w:rPr>
      </w:pPr>
      <w:r w:rsidRPr="00CC0867">
        <w:rPr>
          <w:rFonts w:ascii="Times New Roman" w:hAnsi="Times New Roman"/>
          <w:sz w:val="24"/>
          <w:szCs w:val="24"/>
        </w:rPr>
        <w:t xml:space="preserve">Previous study has examined the impact of sodium hydroxide concentration on the workability (slump flow, V-Funnel, L-box, and J-ring) and compressive strength of SCGC. Where sodium hydroxide concentrations ranging from 8M to 14M are used in the study. The findings of the tests indicate that changes in the sodium hydroxide concentration have the least impact on the freshness of SCGC. The highest compressive strength value is obtained at a sodium hydroxide concentration of 12 M </w:t>
      </w:r>
      <w:r w:rsidR="002F598B" w:rsidRPr="00CC0867">
        <w:rPr>
          <w:rFonts w:ascii="Times New Roman" w:hAnsi="Times New Roman"/>
          <w:sz w:val="24"/>
          <w:szCs w:val="24"/>
        </w:rPr>
        <w:fldChar w:fldCharType="begin" w:fldLock="1"/>
      </w:r>
      <w:r w:rsidR="00044AB1" w:rsidRPr="00CC0867">
        <w:rPr>
          <w:rFonts w:ascii="Times New Roman" w:hAnsi="Times New Roman"/>
          <w:sz w:val="24"/>
          <w:szCs w:val="24"/>
        </w:rPr>
        <w:instrText>ADDIN CSL_CITATION {"citationItems":[{"id":"ITEM-1","itemData":{"ISSN":"18234690","abstract":"This paper reports the results of the laboratory tests conducted to investigate the effect of sodium hydroxide concentration on the fresh properties and compressive strength of self-compacting geopolymer concrete (SCGC). The experiments were conducted by varying the concentration of sodium hydroxide from 8 M to 14 M. Test methods such as Slump flow, V-Funnel, L-box and JRing were used to assess the workability characteristics of SCGC. The test specimens were cured at 70°C for a period of 48 hours and then kept in room temperature until the day of testing. Compressive strength test was carried out at the ages of 1, 3, 7 and 28 days. Test results indicate that concentration variation of sodium hydroxide had least effect on the fresh properties of SCGC. With the increase in sodium hydroxide concentration, the workability of fresh concrete was slightly reduced; however, the corresponding compressive strength was increased. Concrete samples with sodium hydroxide concentration of 12 M produced maximum compressive strength. © School of Engineering, Taylors University.","author":[{"dropping-particle":"","family":"Memon","given":"Fareed Ahmed","non-dropping-particle":"","parse-names":false,"suffix":""},{"dropping-particle":"","family":"Nuruddin","given":"Muhd Fadhil","non-dropping-particle":"","parse-names":false,"suffix":""},{"dropping-particle":"","family":"Khan","given":"Sadaqatullah","non-dropping-particle":"","parse-names":false,"suffix":""},{"dropping-particle":"","family":"Shafiq","given":"Nasir","non-dropping-particle":"","parse-names":false,"suffix":""},{"dropping-particle":"","family":"Ayub","given":"Tehmina","non-dropping-particle":"","parse-names":false,"suffix":""}],"container-title":"Journal of Engineering Science and Technology","id":"ITEM-1","issue":"1","issued":{"date-parts":[["2013"]]},"page":"44-56","title":"Effect of sodium hydroxide concentration on fresh properties and compressive strength of self-compacting geopolymer concrete","type":"article-journal","volume":"8"},"uris":["http://www.mendeley.com/documents/?uuid=c0fef77b-a975-4afa-b92e-0806f491f83e"]}],"mendeley":{"formattedCitation":"[13]","plainTextFormattedCitation":"[13]","previouslyFormattedCitation":"[13]"},"properties":{"noteIndex":0},"schema":"https://github.com/citation-style-language/schema/raw/master/csl-citation.json"}</w:instrText>
      </w:r>
      <w:r w:rsidR="002F598B" w:rsidRPr="00CC0867">
        <w:rPr>
          <w:rFonts w:ascii="Times New Roman" w:hAnsi="Times New Roman"/>
          <w:sz w:val="24"/>
          <w:szCs w:val="24"/>
        </w:rPr>
        <w:fldChar w:fldCharType="separate"/>
      </w:r>
      <w:r w:rsidR="002F598B" w:rsidRPr="00CC0867">
        <w:rPr>
          <w:rFonts w:ascii="Times New Roman" w:hAnsi="Times New Roman"/>
          <w:noProof/>
          <w:sz w:val="24"/>
          <w:szCs w:val="24"/>
        </w:rPr>
        <w:t>[13]</w:t>
      </w:r>
      <w:r w:rsidR="002F598B" w:rsidRPr="00CC0867">
        <w:rPr>
          <w:rFonts w:ascii="Times New Roman" w:hAnsi="Times New Roman"/>
          <w:sz w:val="24"/>
          <w:szCs w:val="24"/>
        </w:rPr>
        <w:fldChar w:fldCharType="end"/>
      </w:r>
      <w:r w:rsidR="002F598B" w:rsidRPr="00CC0867">
        <w:rPr>
          <w:rFonts w:ascii="Times New Roman" w:hAnsi="Times New Roman"/>
          <w:sz w:val="24"/>
          <w:szCs w:val="24"/>
        </w:rPr>
        <w:t>.</w:t>
      </w:r>
    </w:p>
    <w:p w14:paraId="6FD44C22" w14:textId="0D9E94AA" w:rsidR="00A24CC1" w:rsidRDefault="002567F7" w:rsidP="00775257">
      <w:pPr>
        <w:pStyle w:val="ListParagraph"/>
        <w:numPr>
          <w:ilvl w:val="0"/>
          <w:numId w:val="42"/>
        </w:numPr>
        <w:spacing w:before="240" w:after="0" w:line="360" w:lineRule="auto"/>
        <w:ind w:left="630"/>
        <w:jc w:val="both"/>
        <w:rPr>
          <w:rFonts w:ascii="Times New Roman" w:hAnsi="Times New Roman"/>
          <w:b/>
          <w:sz w:val="24"/>
          <w:szCs w:val="24"/>
          <w:lang w:val="id-ID"/>
        </w:rPr>
      </w:pPr>
      <w:r>
        <w:rPr>
          <w:rFonts w:ascii="Times New Roman" w:hAnsi="Times New Roman"/>
          <w:b/>
          <w:sz w:val="24"/>
          <w:szCs w:val="24"/>
          <w:lang w:val="id-ID"/>
        </w:rPr>
        <w:t>Research Method</w:t>
      </w:r>
    </w:p>
    <w:p w14:paraId="790F0245" w14:textId="77777777" w:rsidR="00B27D9B" w:rsidRPr="00B27D9B" w:rsidRDefault="00B27D9B" w:rsidP="00B27D9B">
      <w:pPr>
        <w:spacing w:after="0" w:line="360" w:lineRule="auto"/>
        <w:ind w:left="270" w:firstLine="810"/>
        <w:jc w:val="both"/>
        <w:rPr>
          <w:rFonts w:ascii="Times New Roman" w:hAnsi="Times New Roman"/>
          <w:spacing w:val="2"/>
          <w:sz w:val="24"/>
          <w:szCs w:val="24"/>
        </w:rPr>
      </w:pPr>
      <w:r w:rsidRPr="00B27D9B">
        <w:rPr>
          <w:rFonts w:ascii="Times New Roman" w:hAnsi="Times New Roman"/>
          <w:spacing w:val="2"/>
          <w:sz w:val="24"/>
          <w:szCs w:val="24"/>
        </w:rPr>
        <w:t>The technique employed in this study is the laboratory experiment. The stages in this study are as follows:</w:t>
      </w:r>
    </w:p>
    <w:p w14:paraId="4FD70DE5" w14:textId="16638E62"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A literature review collects secondary data from a range of sources, such as books, research journals, scientific papers, and testing standards.</w:t>
      </w:r>
    </w:p>
    <w:p w14:paraId="083CFBB6" w14:textId="03736A22"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Laboratory examination and testing of samples with the goal of obtaining primary data that will be utilized to analyze the findings of the study conducted.</w:t>
      </w:r>
    </w:p>
    <w:p w14:paraId="26912FB7" w14:textId="19A3A45E"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Using an excel program, the sample's experimental data will be evaluated to identify the difference between SCGC curing saltwater and SCGC curing fresh water.</w:t>
      </w:r>
    </w:p>
    <w:p w14:paraId="1056A53D" w14:textId="3A28DBC9" w:rsidR="00B27D9B" w:rsidRPr="00B27D9B" w:rsidRDefault="00B27D9B" w:rsidP="00B27D9B">
      <w:pPr>
        <w:pStyle w:val="ListParagraph"/>
        <w:numPr>
          <w:ilvl w:val="0"/>
          <w:numId w:val="40"/>
        </w:numPr>
        <w:spacing w:after="0" w:line="360" w:lineRule="auto"/>
        <w:ind w:left="720" w:hanging="450"/>
        <w:jc w:val="both"/>
        <w:rPr>
          <w:rFonts w:ascii="Times New Roman" w:hAnsi="Times New Roman"/>
          <w:spacing w:val="2"/>
          <w:sz w:val="24"/>
          <w:szCs w:val="24"/>
        </w:rPr>
      </w:pPr>
      <w:r w:rsidRPr="00B27D9B">
        <w:rPr>
          <w:rFonts w:ascii="Times New Roman" w:hAnsi="Times New Roman"/>
          <w:spacing w:val="2"/>
          <w:sz w:val="24"/>
          <w:szCs w:val="24"/>
        </w:rPr>
        <w:t>The data analysis technique utilized in this research is descriptive analysis, which gives an overview of the data collected from the results of utilizing fly ash as a geopolymer concrete material with seawater and air curing procedures.</w:t>
      </w:r>
    </w:p>
    <w:p w14:paraId="1A9B13D3" w14:textId="77777777" w:rsidR="00B27D9B" w:rsidRDefault="00B27D9B" w:rsidP="00B27D9B">
      <w:pPr>
        <w:spacing w:after="0" w:line="240" w:lineRule="auto"/>
        <w:ind w:left="270" w:firstLine="581"/>
        <w:jc w:val="both"/>
        <w:rPr>
          <w:rFonts w:ascii="Times New Roman" w:hAnsi="Times New Roman"/>
          <w:spacing w:val="2"/>
          <w:sz w:val="24"/>
          <w:szCs w:val="24"/>
        </w:rPr>
      </w:pPr>
    </w:p>
    <w:p w14:paraId="501E52FB" w14:textId="781AA377" w:rsidR="006C1464" w:rsidRPr="0026757D" w:rsidRDefault="00B27D9B" w:rsidP="0026757D">
      <w:pPr>
        <w:pStyle w:val="ListParagraph"/>
        <w:numPr>
          <w:ilvl w:val="0"/>
          <w:numId w:val="38"/>
        </w:numPr>
        <w:spacing w:after="0" w:line="360" w:lineRule="auto"/>
        <w:ind w:left="720" w:hanging="450"/>
        <w:jc w:val="both"/>
        <w:rPr>
          <w:rFonts w:ascii="Times New Roman" w:hAnsi="Times New Roman"/>
          <w:b/>
          <w:sz w:val="24"/>
          <w:szCs w:val="24"/>
          <w:lang w:val="id-ID"/>
        </w:rPr>
      </w:pPr>
      <w:r>
        <w:rPr>
          <w:rFonts w:ascii="Times New Roman" w:hAnsi="Times New Roman"/>
          <w:b/>
          <w:sz w:val="24"/>
          <w:szCs w:val="24"/>
        </w:rPr>
        <w:t>Tools</w:t>
      </w:r>
    </w:p>
    <w:p w14:paraId="6C2856A1" w14:textId="77777777" w:rsidR="00B27D9B" w:rsidRPr="00B27D9B" w:rsidRDefault="00B27D9B" w:rsidP="00B27D9B">
      <w:pPr>
        <w:spacing w:after="0" w:line="360" w:lineRule="auto"/>
        <w:ind w:left="270"/>
        <w:jc w:val="both"/>
        <w:rPr>
          <w:rFonts w:ascii="Times New Roman" w:hAnsi="Times New Roman"/>
          <w:sz w:val="24"/>
          <w:szCs w:val="24"/>
        </w:rPr>
      </w:pPr>
      <w:r w:rsidRPr="00B27D9B">
        <w:rPr>
          <w:rFonts w:ascii="Times New Roman" w:hAnsi="Times New Roman"/>
          <w:sz w:val="24"/>
          <w:szCs w:val="24"/>
        </w:rPr>
        <w:t>The following tools were utilized in this study:</w:t>
      </w:r>
    </w:p>
    <w:p w14:paraId="62904D28" w14:textId="1A7D9EF4"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Weighing scales with a 0.1 gram sensitivity</w:t>
      </w:r>
    </w:p>
    <w:p w14:paraId="54ECDC4F" w14:textId="6620FC58"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Universal Testing Machine offers a collection of compressive strength testing equipment (UTM).</w:t>
      </w:r>
    </w:p>
    <w:p w14:paraId="4F617780" w14:textId="37A61962"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lastRenderedPageBreak/>
        <w:t>A mixer, also referred to as a concrete mixing machine.</w:t>
      </w:r>
    </w:p>
    <w:p w14:paraId="6932480F" w14:textId="3C3D6C4E"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Oven or dryer with a temperature control</w:t>
      </w:r>
    </w:p>
    <w:p w14:paraId="4F3F8E95" w14:textId="2952FD37" w:rsid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Sieve</w:t>
      </w:r>
    </w:p>
    <w:p w14:paraId="07BFF024" w14:textId="6A5E09CF" w:rsidR="00B27D9B" w:rsidRP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The mold of the test object, the mold of the test object used is a mold measuring 10 cm x 20 cm.</w:t>
      </w:r>
    </w:p>
    <w:p w14:paraId="5515FE07" w14:textId="07B6A418" w:rsidR="00B27D9B" w:rsidRDefault="00B27D9B" w:rsidP="00B27D9B">
      <w:pPr>
        <w:pStyle w:val="ListParagraph"/>
        <w:numPr>
          <w:ilvl w:val="0"/>
          <w:numId w:val="23"/>
        </w:numPr>
        <w:spacing w:after="0" w:line="360" w:lineRule="auto"/>
        <w:ind w:left="630"/>
        <w:jc w:val="both"/>
        <w:rPr>
          <w:rFonts w:ascii="Times New Roman" w:hAnsi="Times New Roman"/>
          <w:sz w:val="24"/>
          <w:szCs w:val="24"/>
        </w:rPr>
      </w:pPr>
      <w:r w:rsidRPr="00B27D9B">
        <w:rPr>
          <w:rFonts w:ascii="Times New Roman" w:hAnsi="Times New Roman"/>
          <w:sz w:val="24"/>
          <w:szCs w:val="24"/>
        </w:rPr>
        <w:t>Other tools</w:t>
      </w:r>
    </w:p>
    <w:p w14:paraId="684B34DD" w14:textId="20A4E3D2"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Cement mold for mixing and inserting fly ash geopolymer concrete.</w:t>
      </w:r>
    </w:p>
    <w:p w14:paraId="363AC328" w14:textId="2591FA8E"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Water is measured using measuring cups with capacities of 2000 ml and 50 ml.</w:t>
      </w:r>
    </w:p>
    <w:p w14:paraId="2FD5DB6C" w14:textId="3E369916"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Stirrer for mixing an alkaline activator solution.</w:t>
      </w:r>
    </w:p>
    <w:p w14:paraId="3A4F827F" w14:textId="4F9BC83E"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stainless steel cup or tray is required to store the components and alkaline activator solution.</w:t>
      </w:r>
    </w:p>
    <w:p w14:paraId="278EDA48" w14:textId="33418190"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brush is used to remove any leftover debris from the utilized equipment.</w:t>
      </w:r>
    </w:p>
    <w:p w14:paraId="206CD0F1" w14:textId="428A05E4"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The time spent stirring was recorded using a timer.</w:t>
      </w:r>
    </w:p>
    <w:p w14:paraId="37AF259E" w14:textId="11F9F0E3"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Bucket for storing the remainder of the mixture and water.</w:t>
      </w:r>
    </w:p>
    <w:p w14:paraId="0581EA9A" w14:textId="5CB129CF"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Purpose: material movement from one place to another.</w:t>
      </w:r>
    </w:p>
    <w:p w14:paraId="05C6724A" w14:textId="688E1033" w:rsidR="00715C28" w:rsidRPr="00715C28" w:rsidRDefault="00715C28" w:rsidP="00715C28">
      <w:pPr>
        <w:pStyle w:val="ListParagraph"/>
        <w:numPr>
          <w:ilvl w:val="0"/>
          <w:numId w:val="24"/>
        </w:numPr>
        <w:spacing w:after="0" w:line="360" w:lineRule="auto"/>
        <w:ind w:left="1080" w:hanging="450"/>
        <w:jc w:val="both"/>
        <w:rPr>
          <w:rFonts w:ascii="Times New Roman" w:hAnsi="Times New Roman"/>
          <w:sz w:val="24"/>
          <w:szCs w:val="24"/>
          <w:lang w:val="id-ID"/>
        </w:rPr>
      </w:pPr>
      <w:r w:rsidRPr="00715C28">
        <w:rPr>
          <w:rFonts w:ascii="Times New Roman" w:hAnsi="Times New Roman"/>
          <w:sz w:val="24"/>
          <w:szCs w:val="24"/>
          <w:lang w:val="id-ID"/>
        </w:rPr>
        <w:t>A soaking tub for soaking concrete.</w:t>
      </w:r>
    </w:p>
    <w:p w14:paraId="3662479E" w14:textId="30D3B16B" w:rsidR="006C1464" w:rsidRDefault="00BE4EDB" w:rsidP="00715C28">
      <w:pPr>
        <w:pStyle w:val="ListParagraph"/>
        <w:numPr>
          <w:ilvl w:val="0"/>
          <w:numId w:val="38"/>
        </w:numPr>
        <w:spacing w:before="120" w:after="0" w:line="360" w:lineRule="auto"/>
        <w:ind w:left="720" w:hanging="446"/>
        <w:contextualSpacing w:val="0"/>
        <w:jc w:val="both"/>
        <w:rPr>
          <w:rFonts w:ascii="Times New Roman" w:hAnsi="Times New Roman"/>
          <w:b/>
          <w:sz w:val="24"/>
          <w:szCs w:val="24"/>
          <w:lang w:val="id-ID"/>
        </w:rPr>
      </w:pPr>
      <w:r>
        <w:rPr>
          <w:rFonts w:ascii="Times New Roman" w:hAnsi="Times New Roman"/>
          <w:b/>
          <w:sz w:val="24"/>
          <w:szCs w:val="24"/>
        </w:rPr>
        <w:t>Materials</w:t>
      </w:r>
    </w:p>
    <w:p w14:paraId="5E405006" w14:textId="4C98FB03" w:rsidR="00DB144E" w:rsidRPr="00FD5B14" w:rsidRDefault="00715C28" w:rsidP="00FF7E53">
      <w:pPr>
        <w:spacing w:line="360" w:lineRule="auto"/>
        <w:ind w:left="270"/>
        <w:jc w:val="both"/>
        <w:rPr>
          <w:rFonts w:ascii="Times New Roman" w:hAnsi="Times New Roman"/>
          <w:sz w:val="24"/>
          <w:szCs w:val="24"/>
        </w:rPr>
      </w:pPr>
      <w:r w:rsidRPr="00FD5B14">
        <w:rPr>
          <w:rFonts w:ascii="Times New Roman" w:hAnsi="Times New Roman"/>
          <w:sz w:val="24"/>
          <w:szCs w:val="24"/>
          <w:lang w:val="id-ID"/>
        </w:rPr>
        <w:t xml:space="preserve">Fly ash, coarse aggregate (gravel), fine aggregate (sand), sodium silicate (NaOH), and sodium hydroxide </w:t>
      </w:r>
      <w:r w:rsidR="00BE4EDB" w:rsidRPr="00FD5B14">
        <w:rPr>
          <w:rFonts w:ascii="Times New Roman" w:hAnsi="Times New Roman"/>
          <w:sz w:val="24"/>
          <w:szCs w:val="24"/>
          <w:lang w:val="id-ID"/>
        </w:rPr>
        <w:t>(Na2SiO3)</w:t>
      </w:r>
      <w:r w:rsidR="00BE4EDB" w:rsidRPr="00FD5B14">
        <w:rPr>
          <w:rFonts w:ascii="Times New Roman" w:hAnsi="Times New Roman"/>
          <w:sz w:val="24"/>
          <w:szCs w:val="24"/>
        </w:rPr>
        <w:t xml:space="preserve"> </w:t>
      </w:r>
      <w:r w:rsidRPr="00FD5B14">
        <w:rPr>
          <w:rFonts w:ascii="Times New Roman" w:hAnsi="Times New Roman"/>
          <w:sz w:val="24"/>
          <w:szCs w:val="24"/>
          <w:lang w:val="id-ID"/>
        </w:rPr>
        <w:t xml:space="preserve">were utilized in this study. The inspection of fine and coarse aggregate is governed by the Indonesian National Standard, which is summarized in Tables 1 and </w:t>
      </w:r>
      <w:r w:rsidR="00BE4EDB" w:rsidRPr="00FD5B14">
        <w:rPr>
          <w:rFonts w:ascii="Times New Roman" w:hAnsi="Times New Roman"/>
          <w:sz w:val="24"/>
          <w:szCs w:val="24"/>
        </w:rPr>
        <w:t xml:space="preserve">Table </w:t>
      </w:r>
      <w:r w:rsidRPr="00FD5B14">
        <w:rPr>
          <w:rFonts w:ascii="Times New Roman" w:hAnsi="Times New Roman"/>
          <w:sz w:val="24"/>
          <w:szCs w:val="24"/>
          <w:lang w:val="id-ID"/>
        </w:rPr>
        <w:t>2.</w:t>
      </w:r>
    </w:p>
    <w:p w14:paraId="436ECF7C" w14:textId="3F3B20E3" w:rsidR="00DB144E" w:rsidRDefault="00DB144E" w:rsidP="004255D9">
      <w:pPr>
        <w:spacing w:after="0" w:line="360" w:lineRule="auto"/>
        <w:ind w:firstLine="450"/>
        <w:rPr>
          <w:rFonts w:ascii="Times New Roman" w:hAnsi="Times New Roman"/>
          <w:sz w:val="24"/>
          <w:szCs w:val="24"/>
          <w:lang w:val="id-ID"/>
        </w:rPr>
      </w:pPr>
      <w:r>
        <w:rPr>
          <w:rFonts w:ascii="Times New Roman" w:hAnsi="Times New Roman"/>
          <w:sz w:val="24"/>
          <w:szCs w:val="24"/>
          <w:lang w:val="id-ID"/>
        </w:rPr>
        <w:t xml:space="preserve">   </w:t>
      </w:r>
      <w:r w:rsidR="00BE4EDB" w:rsidRPr="00BE4EDB">
        <w:rPr>
          <w:rFonts w:ascii="Times New Roman" w:hAnsi="Times New Roman"/>
          <w:b/>
          <w:bCs/>
          <w:sz w:val="24"/>
          <w:szCs w:val="24"/>
        </w:rPr>
        <w:t>Table</w:t>
      </w:r>
      <w:r w:rsidR="00AC3274" w:rsidRPr="00BE4EDB">
        <w:rPr>
          <w:rFonts w:ascii="Times New Roman" w:hAnsi="Times New Roman"/>
          <w:b/>
          <w:bCs/>
          <w:sz w:val="24"/>
          <w:szCs w:val="24"/>
        </w:rPr>
        <w:t xml:space="preserve"> </w:t>
      </w:r>
      <w:r w:rsidRPr="00BE4EDB">
        <w:rPr>
          <w:rFonts w:ascii="Times New Roman" w:hAnsi="Times New Roman"/>
          <w:b/>
          <w:bCs/>
          <w:sz w:val="24"/>
          <w:szCs w:val="24"/>
          <w:lang w:val="id-ID"/>
        </w:rPr>
        <w:t>1</w:t>
      </w:r>
      <w:r w:rsidR="00BE4EDB" w:rsidRPr="00BE4EDB">
        <w:rPr>
          <w:rFonts w:ascii="Times New Roman" w:hAnsi="Times New Roman"/>
          <w:b/>
          <w:bCs/>
          <w:sz w:val="24"/>
          <w:szCs w:val="24"/>
        </w:rPr>
        <w:t>.</w:t>
      </w:r>
      <w:r w:rsidR="00BE4EDB">
        <w:rPr>
          <w:rFonts w:ascii="Times New Roman" w:hAnsi="Times New Roman"/>
          <w:sz w:val="24"/>
          <w:szCs w:val="24"/>
        </w:rPr>
        <w:t xml:space="preserve"> </w:t>
      </w:r>
      <w:r w:rsidR="00BE4EDB" w:rsidRPr="00BE4EDB">
        <w:rPr>
          <w:rFonts w:ascii="Times New Roman" w:hAnsi="Times New Roman"/>
          <w:sz w:val="24"/>
          <w:szCs w:val="24"/>
          <w:lang w:val="id-ID"/>
        </w:rPr>
        <w:t>Assessment of Fine Aggregates</w:t>
      </w:r>
    </w:p>
    <w:tbl>
      <w:tblPr>
        <w:tblW w:w="7939" w:type="dxa"/>
        <w:jc w:val="center"/>
        <w:tblBorders>
          <w:top w:val="single" w:sz="4" w:space="0" w:color="auto"/>
          <w:bottom w:val="single" w:sz="4" w:space="0" w:color="auto"/>
        </w:tblBorders>
        <w:tblLook w:val="04A0" w:firstRow="1" w:lastRow="0" w:firstColumn="1" w:lastColumn="0" w:noHBand="0" w:noVBand="1"/>
      </w:tblPr>
      <w:tblGrid>
        <w:gridCol w:w="800"/>
        <w:gridCol w:w="3462"/>
        <w:gridCol w:w="3677"/>
      </w:tblGrid>
      <w:tr w:rsidR="00DB144E" w:rsidRPr="00FD5B14" w14:paraId="69D7ECED" w14:textId="77777777" w:rsidTr="00FD5B14">
        <w:trPr>
          <w:trHeight w:val="760"/>
          <w:jc w:val="center"/>
        </w:trPr>
        <w:tc>
          <w:tcPr>
            <w:tcW w:w="800" w:type="dxa"/>
            <w:tcBorders>
              <w:top w:val="single" w:sz="4" w:space="0" w:color="auto"/>
              <w:bottom w:val="single" w:sz="4" w:space="0" w:color="auto"/>
            </w:tcBorders>
            <w:shd w:val="clear" w:color="auto" w:fill="auto"/>
            <w:vAlign w:val="center"/>
            <w:hideMark/>
          </w:tcPr>
          <w:p w14:paraId="462487AC" w14:textId="77777777" w:rsidR="00DB144E" w:rsidRPr="00FD5B14" w:rsidRDefault="00DB144E" w:rsidP="00FB7CCD">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No.</w:t>
            </w:r>
          </w:p>
        </w:tc>
        <w:tc>
          <w:tcPr>
            <w:tcW w:w="3462" w:type="dxa"/>
            <w:tcBorders>
              <w:top w:val="single" w:sz="4" w:space="0" w:color="auto"/>
              <w:bottom w:val="single" w:sz="4" w:space="0" w:color="auto"/>
            </w:tcBorders>
            <w:vAlign w:val="center"/>
          </w:tcPr>
          <w:p w14:paraId="0275BDE9" w14:textId="2FEF1361" w:rsidR="00DB144E" w:rsidRPr="00FD5B14" w:rsidRDefault="00BE4EDB" w:rsidP="00FB7CCD">
            <w:pPr>
              <w:spacing w:after="0" w:line="240" w:lineRule="auto"/>
              <w:rPr>
                <w:rFonts w:ascii="Times New Roman" w:eastAsia="Times New Roman" w:hAnsi="Times New Roman"/>
                <w:sz w:val="24"/>
                <w:szCs w:val="24"/>
              </w:rPr>
            </w:pPr>
            <w:r w:rsidRPr="00FD5B14">
              <w:rPr>
                <w:rFonts w:ascii="Times New Roman" w:eastAsia="Times New Roman" w:hAnsi="Times New Roman"/>
                <w:sz w:val="24"/>
                <w:szCs w:val="24"/>
              </w:rPr>
              <w:t>Assessment</w:t>
            </w:r>
          </w:p>
        </w:tc>
        <w:tc>
          <w:tcPr>
            <w:tcW w:w="3677" w:type="dxa"/>
            <w:tcBorders>
              <w:top w:val="single" w:sz="4" w:space="0" w:color="auto"/>
              <w:bottom w:val="single" w:sz="4" w:space="0" w:color="auto"/>
            </w:tcBorders>
            <w:shd w:val="clear" w:color="auto" w:fill="auto"/>
            <w:vAlign w:val="center"/>
            <w:hideMark/>
          </w:tcPr>
          <w:p w14:paraId="7A0340C0" w14:textId="798E2A4E" w:rsidR="00DB144E" w:rsidRPr="00FD5B14" w:rsidRDefault="00BE4EDB" w:rsidP="00FB7CCD">
            <w:pPr>
              <w:spacing w:after="0" w:line="24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Standard</w:t>
            </w:r>
          </w:p>
        </w:tc>
      </w:tr>
      <w:tr w:rsidR="00DB144E" w:rsidRPr="00FD5B14" w14:paraId="5B4187E8" w14:textId="77777777" w:rsidTr="00FD5B14">
        <w:trPr>
          <w:trHeight w:val="465"/>
          <w:jc w:val="center"/>
        </w:trPr>
        <w:tc>
          <w:tcPr>
            <w:tcW w:w="800" w:type="dxa"/>
            <w:tcBorders>
              <w:top w:val="single" w:sz="4" w:space="0" w:color="auto"/>
            </w:tcBorders>
            <w:shd w:val="clear" w:color="auto" w:fill="auto"/>
            <w:noWrap/>
            <w:vAlign w:val="center"/>
            <w:hideMark/>
          </w:tcPr>
          <w:p w14:paraId="1BA93583"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1</w:t>
            </w:r>
          </w:p>
        </w:tc>
        <w:tc>
          <w:tcPr>
            <w:tcW w:w="3462" w:type="dxa"/>
            <w:tcBorders>
              <w:top w:val="single" w:sz="4" w:space="0" w:color="auto"/>
            </w:tcBorders>
            <w:vAlign w:val="center"/>
          </w:tcPr>
          <w:p w14:paraId="4576AE44" w14:textId="26EB816D"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Mud Content</w:t>
            </w:r>
          </w:p>
        </w:tc>
        <w:tc>
          <w:tcPr>
            <w:tcW w:w="3677" w:type="dxa"/>
            <w:tcBorders>
              <w:top w:val="single" w:sz="4" w:space="0" w:color="auto"/>
            </w:tcBorders>
            <w:shd w:val="clear" w:color="auto" w:fill="auto"/>
            <w:noWrap/>
            <w:vAlign w:val="center"/>
            <w:hideMark/>
          </w:tcPr>
          <w:p w14:paraId="75085213"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rPr>
              <w:t>SNI 03-4141-1996</w:t>
            </w:r>
          </w:p>
        </w:tc>
      </w:tr>
      <w:tr w:rsidR="00DB144E" w:rsidRPr="00FD5B14" w14:paraId="1C58F1CC" w14:textId="77777777" w:rsidTr="00FD5B14">
        <w:trPr>
          <w:trHeight w:val="508"/>
          <w:jc w:val="center"/>
        </w:trPr>
        <w:tc>
          <w:tcPr>
            <w:tcW w:w="800" w:type="dxa"/>
            <w:shd w:val="clear" w:color="auto" w:fill="auto"/>
            <w:noWrap/>
            <w:vAlign w:val="center"/>
            <w:hideMark/>
          </w:tcPr>
          <w:p w14:paraId="7C07A36C"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2</w:t>
            </w:r>
          </w:p>
        </w:tc>
        <w:tc>
          <w:tcPr>
            <w:tcW w:w="3462" w:type="dxa"/>
            <w:vAlign w:val="center"/>
          </w:tcPr>
          <w:p w14:paraId="4C1565C3" w14:textId="619217DE"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Organic concentrations</w:t>
            </w:r>
          </w:p>
        </w:tc>
        <w:tc>
          <w:tcPr>
            <w:tcW w:w="3677" w:type="dxa"/>
            <w:shd w:val="clear" w:color="auto" w:fill="auto"/>
            <w:noWrap/>
            <w:vAlign w:val="center"/>
            <w:hideMark/>
          </w:tcPr>
          <w:p w14:paraId="6BEDC985"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03-2816-1992</w:t>
            </w:r>
          </w:p>
        </w:tc>
      </w:tr>
      <w:tr w:rsidR="00DB144E" w:rsidRPr="00FD5B14" w14:paraId="219A47CC" w14:textId="77777777" w:rsidTr="00FD5B14">
        <w:trPr>
          <w:trHeight w:val="508"/>
          <w:jc w:val="center"/>
        </w:trPr>
        <w:tc>
          <w:tcPr>
            <w:tcW w:w="800" w:type="dxa"/>
            <w:shd w:val="clear" w:color="auto" w:fill="auto"/>
            <w:noWrap/>
            <w:vAlign w:val="center"/>
            <w:hideMark/>
          </w:tcPr>
          <w:p w14:paraId="1B40E9F7"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3</w:t>
            </w:r>
          </w:p>
        </w:tc>
        <w:tc>
          <w:tcPr>
            <w:tcW w:w="3462" w:type="dxa"/>
            <w:vAlign w:val="center"/>
          </w:tcPr>
          <w:p w14:paraId="245C6DD1" w14:textId="51396EB6"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Water Content</w:t>
            </w:r>
          </w:p>
        </w:tc>
        <w:tc>
          <w:tcPr>
            <w:tcW w:w="3677" w:type="dxa"/>
            <w:shd w:val="clear" w:color="auto" w:fill="auto"/>
            <w:noWrap/>
            <w:vAlign w:val="center"/>
            <w:hideMark/>
          </w:tcPr>
          <w:p w14:paraId="08EDB08A"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03-1971-1990</w:t>
            </w:r>
          </w:p>
        </w:tc>
      </w:tr>
      <w:tr w:rsidR="00DB144E" w:rsidRPr="00FD5B14" w14:paraId="63587DB8" w14:textId="77777777" w:rsidTr="00FD5B14">
        <w:trPr>
          <w:trHeight w:val="508"/>
          <w:jc w:val="center"/>
        </w:trPr>
        <w:tc>
          <w:tcPr>
            <w:tcW w:w="800" w:type="dxa"/>
            <w:shd w:val="clear" w:color="auto" w:fill="auto"/>
            <w:noWrap/>
            <w:vAlign w:val="center"/>
            <w:hideMark/>
          </w:tcPr>
          <w:p w14:paraId="36C11049"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4</w:t>
            </w:r>
          </w:p>
        </w:tc>
        <w:tc>
          <w:tcPr>
            <w:tcW w:w="3462" w:type="dxa"/>
            <w:vAlign w:val="center"/>
          </w:tcPr>
          <w:p w14:paraId="279A9CAF" w14:textId="357D1F4E"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Weight in volume</w:t>
            </w:r>
          </w:p>
        </w:tc>
        <w:tc>
          <w:tcPr>
            <w:tcW w:w="3677" w:type="dxa"/>
            <w:shd w:val="clear" w:color="auto" w:fill="auto"/>
            <w:noWrap/>
            <w:vAlign w:val="center"/>
            <w:hideMark/>
          </w:tcPr>
          <w:p w14:paraId="7179A915"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rPr>
              <w:t>SNI 03-4804-1998</w:t>
            </w:r>
          </w:p>
        </w:tc>
      </w:tr>
      <w:tr w:rsidR="00DB144E" w:rsidRPr="00FD5B14" w14:paraId="10A62005" w14:textId="77777777" w:rsidTr="00FD5B14">
        <w:trPr>
          <w:trHeight w:val="508"/>
          <w:jc w:val="center"/>
        </w:trPr>
        <w:tc>
          <w:tcPr>
            <w:tcW w:w="800" w:type="dxa"/>
            <w:shd w:val="clear" w:color="auto" w:fill="auto"/>
            <w:noWrap/>
            <w:vAlign w:val="center"/>
            <w:hideMark/>
          </w:tcPr>
          <w:p w14:paraId="54DBD5AF"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5</w:t>
            </w:r>
          </w:p>
        </w:tc>
        <w:tc>
          <w:tcPr>
            <w:tcW w:w="3462" w:type="dxa"/>
            <w:vAlign w:val="center"/>
          </w:tcPr>
          <w:p w14:paraId="10A16C40" w14:textId="56881726"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Specific gravity and absorption</w:t>
            </w:r>
          </w:p>
        </w:tc>
        <w:tc>
          <w:tcPr>
            <w:tcW w:w="3677" w:type="dxa"/>
            <w:shd w:val="clear" w:color="auto" w:fill="auto"/>
            <w:noWrap/>
            <w:vAlign w:val="center"/>
            <w:hideMark/>
          </w:tcPr>
          <w:p w14:paraId="1BC28647"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03-1970-1990</w:t>
            </w:r>
          </w:p>
        </w:tc>
      </w:tr>
      <w:tr w:rsidR="00DB144E" w:rsidRPr="00FD5B14" w14:paraId="0569B5C4" w14:textId="77777777" w:rsidTr="00FD5B14">
        <w:trPr>
          <w:trHeight w:val="508"/>
          <w:jc w:val="center"/>
        </w:trPr>
        <w:tc>
          <w:tcPr>
            <w:tcW w:w="800" w:type="dxa"/>
            <w:shd w:val="clear" w:color="auto" w:fill="auto"/>
            <w:noWrap/>
            <w:vAlign w:val="center"/>
            <w:hideMark/>
          </w:tcPr>
          <w:p w14:paraId="50272B91"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6</w:t>
            </w:r>
          </w:p>
        </w:tc>
        <w:tc>
          <w:tcPr>
            <w:tcW w:w="3462" w:type="dxa"/>
            <w:vAlign w:val="center"/>
          </w:tcPr>
          <w:p w14:paraId="09BF4C05" w14:textId="46C97133"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Fineness Modulus</w:t>
            </w:r>
          </w:p>
        </w:tc>
        <w:tc>
          <w:tcPr>
            <w:tcW w:w="3677" w:type="dxa"/>
            <w:shd w:val="clear" w:color="auto" w:fill="auto"/>
            <w:noWrap/>
            <w:vAlign w:val="center"/>
            <w:hideMark/>
          </w:tcPr>
          <w:p w14:paraId="0AD41657"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03-1968-1990</w:t>
            </w:r>
          </w:p>
        </w:tc>
      </w:tr>
    </w:tbl>
    <w:p w14:paraId="09F1B176" w14:textId="77777777" w:rsidR="00023E8E" w:rsidRDefault="00DB144E" w:rsidP="00DB144E">
      <w:pPr>
        <w:spacing w:after="0" w:line="360" w:lineRule="auto"/>
        <w:ind w:firstLine="720"/>
        <w:rPr>
          <w:rFonts w:ascii="Times New Roman" w:hAnsi="Times New Roman"/>
          <w:sz w:val="24"/>
          <w:szCs w:val="24"/>
          <w:lang w:val="id-ID"/>
        </w:rPr>
      </w:pPr>
      <w:r w:rsidRPr="00DB144E">
        <w:rPr>
          <w:rFonts w:ascii="Times New Roman" w:hAnsi="Times New Roman"/>
          <w:sz w:val="24"/>
          <w:szCs w:val="24"/>
          <w:lang w:val="id-ID"/>
        </w:rPr>
        <w:t xml:space="preserve"> </w:t>
      </w:r>
    </w:p>
    <w:p w14:paraId="723FDF1F" w14:textId="1A14FBDB" w:rsidR="00DB144E" w:rsidRPr="00FD5B14" w:rsidRDefault="00DB144E" w:rsidP="00DB144E">
      <w:pPr>
        <w:spacing w:after="0" w:line="360" w:lineRule="auto"/>
        <w:ind w:firstLine="720"/>
        <w:rPr>
          <w:rFonts w:ascii="Times New Roman" w:hAnsi="Times New Roman"/>
          <w:sz w:val="24"/>
          <w:szCs w:val="24"/>
        </w:rPr>
      </w:pPr>
      <w:r w:rsidRPr="00FD5B14">
        <w:rPr>
          <w:rFonts w:ascii="Times New Roman" w:hAnsi="Times New Roman"/>
          <w:b/>
          <w:bCs/>
          <w:sz w:val="24"/>
          <w:szCs w:val="24"/>
          <w:lang w:val="id-ID"/>
        </w:rPr>
        <w:t>T</w:t>
      </w:r>
      <w:r w:rsidR="00BE4EDB" w:rsidRPr="00FD5B14">
        <w:rPr>
          <w:rFonts w:ascii="Times New Roman" w:hAnsi="Times New Roman"/>
          <w:b/>
          <w:bCs/>
          <w:sz w:val="24"/>
          <w:szCs w:val="24"/>
        </w:rPr>
        <w:t>able</w:t>
      </w:r>
      <w:r w:rsidRPr="00FD5B14">
        <w:rPr>
          <w:rFonts w:ascii="Times New Roman" w:hAnsi="Times New Roman"/>
          <w:b/>
          <w:bCs/>
          <w:sz w:val="24"/>
          <w:szCs w:val="24"/>
          <w:lang w:val="id-ID"/>
        </w:rPr>
        <w:t xml:space="preserve"> 2</w:t>
      </w:r>
      <w:r w:rsidR="00BE4EDB" w:rsidRPr="00FD5B14">
        <w:rPr>
          <w:rFonts w:ascii="Times New Roman" w:hAnsi="Times New Roman"/>
          <w:sz w:val="24"/>
          <w:szCs w:val="24"/>
        </w:rPr>
        <w:t>.</w:t>
      </w:r>
      <w:r w:rsidRPr="00FD5B14">
        <w:rPr>
          <w:rFonts w:ascii="Times New Roman" w:hAnsi="Times New Roman"/>
          <w:sz w:val="24"/>
          <w:szCs w:val="24"/>
          <w:lang w:val="id-ID"/>
        </w:rPr>
        <w:t xml:space="preserve"> </w:t>
      </w:r>
      <w:r w:rsidR="00BE4EDB" w:rsidRPr="00FD5B14">
        <w:rPr>
          <w:rFonts w:ascii="Times New Roman" w:hAnsi="Times New Roman"/>
          <w:sz w:val="24"/>
          <w:szCs w:val="24"/>
          <w:lang w:val="id-ID"/>
        </w:rPr>
        <w:t>Assessment of</w:t>
      </w:r>
      <w:r w:rsidR="00BE4EDB" w:rsidRPr="00FD5B14">
        <w:rPr>
          <w:rFonts w:ascii="Times New Roman" w:hAnsi="Times New Roman"/>
          <w:sz w:val="24"/>
          <w:szCs w:val="24"/>
        </w:rPr>
        <w:t xml:space="preserve"> Coarse Aggregate</w:t>
      </w:r>
    </w:p>
    <w:tbl>
      <w:tblPr>
        <w:tblW w:w="7846" w:type="dxa"/>
        <w:jc w:val="center"/>
        <w:tblBorders>
          <w:top w:val="single" w:sz="4" w:space="0" w:color="auto"/>
          <w:bottom w:val="single" w:sz="4" w:space="0" w:color="auto"/>
        </w:tblBorders>
        <w:tblLook w:val="04A0" w:firstRow="1" w:lastRow="0" w:firstColumn="1" w:lastColumn="0" w:noHBand="0" w:noVBand="1"/>
      </w:tblPr>
      <w:tblGrid>
        <w:gridCol w:w="782"/>
        <w:gridCol w:w="3448"/>
        <w:gridCol w:w="3616"/>
      </w:tblGrid>
      <w:tr w:rsidR="00DB144E" w:rsidRPr="00FD5B14" w14:paraId="1A590448" w14:textId="77777777" w:rsidTr="00FD5B14">
        <w:trPr>
          <w:trHeight w:val="600"/>
          <w:jc w:val="center"/>
        </w:trPr>
        <w:tc>
          <w:tcPr>
            <w:tcW w:w="782" w:type="dxa"/>
            <w:tcBorders>
              <w:top w:val="single" w:sz="4" w:space="0" w:color="auto"/>
              <w:bottom w:val="single" w:sz="4" w:space="0" w:color="auto"/>
            </w:tcBorders>
            <w:shd w:val="clear" w:color="auto" w:fill="auto"/>
            <w:vAlign w:val="center"/>
            <w:hideMark/>
          </w:tcPr>
          <w:p w14:paraId="3C12BC4D" w14:textId="77777777" w:rsidR="00DB144E" w:rsidRPr="00FD5B14" w:rsidRDefault="00DB144E" w:rsidP="00DB144E">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lastRenderedPageBreak/>
              <w:t>No.</w:t>
            </w:r>
          </w:p>
        </w:tc>
        <w:tc>
          <w:tcPr>
            <w:tcW w:w="3448" w:type="dxa"/>
            <w:tcBorders>
              <w:top w:val="single" w:sz="4" w:space="0" w:color="auto"/>
              <w:bottom w:val="single" w:sz="4" w:space="0" w:color="auto"/>
            </w:tcBorders>
            <w:vAlign w:val="center"/>
          </w:tcPr>
          <w:p w14:paraId="35CEAF10" w14:textId="7A1E8AC3" w:rsidR="00DB144E" w:rsidRPr="00FD5B14" w:rsidRDefault="00BE4EDB" w:rsidP="00BE4EDB">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Assessment</w:t>
            </w:r>
          </w:p>
        </w:tc>
        <w:tc>
          <w:tcPr>
            <w:tcW w:w="3616" w:type="dxa"/>
            <w:tcBorders>
              <w:top w:val="single" w:sz="4" w:space="0" w:color="auto"/>
              <w:bottom w:val="single" w:sz="4" w:space="0" w:color="auto"/>
            </w:tcBorders>
            <w:shd w:val="clear" w:color="auto" w:fill="auto"/>
            <w:vAlign w:val="center"/>
            <w:hideMark/>
          </w:tcPr>
          <w:p w14:paraId="551ED187" w14:textId="605AB0D4" w:rsidR="00DB144E" w:rsidRPr="00FD5B14" w:rsidRDefault="00BE4EDB" w:rsidP="00DB144E">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Standard</w:t>
            </w:r>
          </w:p>
        </w:tc>
      </w:tr>
      <w:tr w:rsidR="00DB144E" w:rsidRPr="00FD5B14" w14:paraId="241BB204" w14:textId="77777777" w:rsidTr="00FD5B14">
        <w:trPr>
          <w:trHeight w:val="368"/>
          <w:jc w:val="center"/>
        </w:trPr>
        <w:tc>
          <w:tcPr>
            <w:tcW w:w="782" w:type="dxa"/>
            <w:tcBorders>
              <w:top w:val="single" w:sz="4" w:space="0" w:color="auto"/>
            </w:tcBorders>
            <w:shd w:val="clear" w:color="auto" w:fill="auto"/>
            <w:noWrap/>
            <w:vAlign w:val="center"/>
            <w:hideMark/>
          </w:tcPr>
          <w:p w14:paraId="640608A2" w14:textId="77777777" w:rsidR="00DB144E" w:rsidRPr="00FD5B14" w:rsidRDefault="00DB144E" w:rsidP="00FB7CCD">
            <w:pPr>
              <w:spacing w:before="120"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1</w:t>
            </w:r>
          </w:p>
        </w:tc>
        <w:tc>
          <w:tcPr>
            <w:tcW w:w="3448" w:type="dxa"/>
            <w:tcBorders>
              <w:top w:val="single" w:sz="4" w:space="0" w:color="auto"/>
            </w:tcBorders>
            <w:vAlign w:val="center"/>
          </w:tcPr>
          <w:p w14:paraId="56861DD2" w14:textId="4C31BDC8" w:rsidR="00DB144E" w:rsidRPr="00FD5B14" w:rsidRDefault="00BE4EDB" w:rsidP="00FB7CCD">
            <w:pPr>
              <w:spacing w:before="120"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Mud Content</w:t>
            </w:r>
          </w:p>
        </w:tc>
        <w:tc>
          <w:tcPr>
            <w:tcW w:w="3616" w:type="dxa"/>
            <w:tcBorders>
              <w:top w:val="single" w:sz="4" w:space="0" w:color="auto"/>
            </w:tcBorders>
            <w:shd w:val="clear" w:color="auto" w:fill="auto"/>
            <w:noWrap/>
            <w:vAlign w:val="center"/>
            <w:hideMark/>
          </w:tcPr>
          <w:p w14:paraId="7232DB80" w14:textId="77777777" w:rsidR="00DB144E" w:rsidRPr="00FD5B14" w:rsidRDefault="00DB144E" w:rsidP="00FB7CCD">
            <w:pPr>
              <w:spacing w:before="120" w:after="0" w:line="360" w:lineRule="auto"/>
              <w:jc w:val="center"/>
              <w:rPr>
                <w:rFonts w:ascii="Times New Roman" w:eastAsia="Times New Roman" w:hAnsi="Times New Roman"/>
                <w:sz w:val="24"/>
                <w:szCs w:val="24"/>
              </w:rPr>
            </w:pPr>
            <w:r w:rsidRPr="00FD5B14">
              <w:rPr>
                <w:rFonts w:ascii="Times New Roman" w:hAnsi="Times New Roman"/>
                <w:sz w:val="24"/>
                <w:szCs w:val="24"/>
              </w:rPr>
              <w:t>SNI 03-4141-1996</w:t>
            </w:r>
          </w:p>
        </w:tc>
      </w:tr>
      <w:tr w:rsidR="00DB144E" w:rsidRPr="00FD5B14" w14:paraId="2E16AD4B" w14:textId="77777777" w:rsidTr="00FD5B14">
        <w:trPr>
          <w:trHeight w:val="402"/>
          <w:jc w:val="center"/>
        </w:trPr>
        <w:tc>
          <w:tcPr>
            <w:tcW w:w="782" w:type="dxa"/>
            <w:shd w:val="clear" w:color="auto" w:fill="auto"/>
            <w:noWrap/>
            <w:vAlign w:val="center"/>
            <w:hideMark/>
          </w:tcPr>
          <w:p w14:paraId="55890850"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2</w:t>
            </w:r>
          </w:p>
        </w:tc>
        <w:tc>
          <w:tcPr>
            <w:tcW w:w="3448" w:type="dxa"/>
            <w:vAlign w:val="center"/>
          </w:tcPr>
          <w:p w14:paraId="0510BC22" w14:textId="7384183E" w:rsidR="00DB144E" w:rsidRPr="00FD5B14" w:rsidRDefault="00BE4EDB" w:rsidP="00FB7CCD">
            <w:pPr>
              <w:spacing w:after="0" w:line="360" w:lineRule="auto"/>
              <w:rPr>
                <w:rFonts w:ascii="Times New Roman" w:eastAsia="Times New Roman" w:hAnsi="Times New Roman"/>
                <w:sz w:val="24"/>
                <w:szCs w:val="24"/>
              </w:rPr>
            </w:pPr>
            <w:proofErr w:type="spellStart"/>
            <w:r w:rsidRPr="00FD5B14">
              <w:rPr>
                <w:rFonts w:ascii="Times New Roman" w:eastAsia="Times New Roman" w:hAnsi="Times New Roman"/>
                <w:sz w:val="24"/>
                <w:szCs w:val="24"/>
              </w:rPr>
              <w:t>Abration</w:t>
            </w:r>
            <w:proofErr w:type="spellEnd"/>
          </w:p>
        </w:tc>
        <w:tc>
          <w:tcPr>
            <w:tcW w:w="3616" w:type="dxa"/>
            <w:shd w:val="clear" w:color="auto" w:fill="auto"/>
            <w:noWrap/>
            <w:vAlign w:val="center"/>
            <w:hideMark/>
          </w:tcPr>
          <w:p w14:paraId="6E0E1A5F"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03-2417-1991</w:t>
            </w:r>
          </w:p>
        </w:tc>
      </w:tr>
      <w:tr w:rsidR="00DB144E" w:rsidRPr="00FD5B14" w14:paraId="3D949718" w14:textId="77777777" w:rsidTr="00FD5B14">
        <w:trPr>
          <w:trHeight w:val="402"/>
          <w:jc w:val="center"/>
        </w:trPr>
        <w:tc>
          <w:tcPr>
            <w:tcW w:w="782" w:type="dxa"/>
            <w:shd w:val="clear" w:color="auto" w:fill="auto"/>
            <w:noWrap/>
            <w:vAlign w:val="center"/>
            <w:hideMark/>
          </w:tcPr>
          <w:p w14:paraId="3702D69C"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3</w:t>
            </w:r>
          </w:p>
        </w:tc>
        <w:tc>
          <w:tcPr>
            <w:tcW w:w="3448" w:type="dxa"/>
            <w:vAlign w:val="center"/>
          </w:tcPr>
          <w:p w14:paraId="02EFF9A4" w14:textId="276C53DB"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Water Content</w:t>
            </w:r>
          </w:p>
        </w:tc>
        <w:tc>
          <w:tcPr>
            <w:tcW w:w="3616" w:type="dxa"/>
            <w:shd w:val="clear" w:color="auto" w:fill="auto"/>
            <w:noWrap/>
            <w:vAlign w:val="center"/>
            <w:hideMark/>
          </w:tcPr>
          <w:p w14:paraId="4B48A952"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03-1971-1990</w:t>
            </w:r>
          </w:p>
        </w:tc>
      </w:tr>
      <w:tr w:rsidR="00DB144E" w:rsidRPr="00FD5B14" w14:paraId="19F72D9B" w14:textId="77777777" w:rsidTr="00FD5B14">
        <w:trPr>
          <w:trHeight w:val="402"/>
          <w:jc w:val="center"/>
        </w:trPr>
        <w:tc>
          <w:tcPr>
            <w:tcW w:w="782" w:type="dxa"/>
            <w:shd w:val="clear" w:color="auto" w:fill="auto"/>
            <w:noWrap/>
            <w:vAlign w:val="center"/>
            <w:hideMark/>
          </w:tcPr>
          <w:p w14:paraId="08753835"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4</w:t>
            </w:r>
          </w:p>
        </w:tc>
        <w:tc>
          <w:tcPr>
            <w:tcW w:w="3448" w:type="dxa"/>
            <w:vAlign w:val="center"/>
          </w:tcPr>
          <w:p w14:paraId="13F9FD7B" w14:textId="59EA225B"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Weight in volume</w:t>
            </w:r>
          </w:p>
        </w:tc>
        <w:tc>
          <w:tcPr>
            <w:tcW w:w="3616" w:type="dxa"/>
            <w:shd w:val="clear" w:color="auto" w:fill="auto"/>
            <w:noWrap/>
            <w:vAlign w:val="center"/>
            <w:hideMark/>
          </w:tcPr>
          <w:p w14:paraId="787E224F" w14:textId="77777777" w:rsidR="00DB144E" w:rsidRPr="00FD5B14" w:rsidRDefault="00DB144E" w:rsidP="00FB7CCD">
            <w:pPr>
              <w:spacing w:after="0" w:line="360" w:lineRule="auto"/>
              <w:ind w:left="-54"/>
              <w:jc w:val="center"/>
              <w:rPr>
                <w:rFonts w:ascii="Times New Roman" w:eastAsia="Times New Roman" w:hAnsi="Times New Roman"/>
                <w:sz w:val="24"/>
                <w:szCs w:val="24"/>
              </w:rPr>
            </w:pPr>
            <w:r w:rsidRPr="00FD5B14">
              <w:rPr>
                <w:rFonts w:ascii="Times New Roman" w:hAnsi="Times New Roman"/>
                <w:sz w:val="24"/>
                <w:szCs w:val="24"/>
              </w:rPr>
              <w:t>SNI 03-4804-1998</w:t>
            </w:r>
          </w:p>
        </w:tc>
      </w:tr>
      <w:tr w:rsidR="00DB144E" w:rsidRPr="00FD5B14" w14:paraId="5FD77841" w14:textId="77777777" w:rsidTr="00FD5B14">
        <w:trPr>
          <w:trHeight w:val="402"/>
          <w:jc w:val="center"/>
        </w:trPr>
        <w:tc>
          <w:tcPr>
            <w:tcW w:w="782" w:type="dxa"/>
            <w:shd w:val="clear" w:color="auto" w:fill="auto"/>
            <w:noWrap/>
            <w:vAlign w:val="center"/>
            <w:hideMark/>
          </w:tcPr>
          <w:p w14:paraId="3A9D655B"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5</w:t>
            </w:r>
          </w:p>
        </w:tc>
        <w:tc>
          <w:tcPr>
            <w:tcW w:w="3448" w:type="dxa"/>
            <w:vAlign w:val="center"/>
          </w:tcPr>
          <w:p w14:paraId="434629ED" w14:textId="2FD07E85" w:rsidR="00DB144E" w:rsidRPr="00FD5B14" w:rsidRDefault="00BE4EDB"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Specific gravity and absorption</w:t>
            </w:r>
          </w:p>
        </w:tc>
        <w:tc>
          <w:tcPr>
            <w:tcW w:w="3616" w:type="dxa"/>
            <w:shd w:val="clear" w:color="auto" w:fill="auto"/>
            <w:noWrap/>
            <w:vAlign w:val="center"/>
            <w:hideMark/>
          </w:tcPr>
          <w:p w14:paraId="75C34914"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03-1969-1990</w:t>
            </w:r>
          </w:p>
        </w:tc>
      </w:tr>
      <w:tr w:rsidR="00DB144E" w:rsidRPr="00FD5B14" w14:paraId="682A9B85" w14:textId="77777777" w:rsidTr="00FD5B14">
        <w:trPr>
          <w:trHeight w:val="402"/>
          <w:jc w:val="center"/>
        </w:trPr>
        <w:tc>
          <w:tcPr>
            <w:tcW w:w="782" w:type="dxa"/>
            <w:shd w:val="clear" w:color="auto" w:fill="auto"/>
            <w:noWrap/>
            <w:vAlign w:val="center"/>
            <w:hideMark/>
          </w:tcPr>
          <w:p w14:paraId="682D3658"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eastAsia="Times New Roman" w:hAnsi="Times New Roman"/>
                <w:sz w:val="24"/>
                <w:szCs w:val="24"/>
              </w:rPr>
              <w:t>6</w:t>
            </w:r>
          </w:p>
        </w:tc>
        <w:tc>
          <w:tcPr>
            <w:tcW w:w="3448" w:type="dxa"/>
            <w:vAlign w:val="center"/>
          </w:tcPr>
          <w:p w14:paraId="298ABAEB" w14:textId="6027076D" w:rsidR="00DB144E" w:rsidRPr="00FD5B14" w:rsidRDefault="007B063F" w:rsidP="00FB7CCD">
            <w:pPr>
              <w:spacing w:after="0" w:line="360" w:lineRule="auto"/>
              <w:rPr>
                <w:rFonts w:ascii="Times New Roman" w:eastAsia="Times New Roman" w:hAnsi="Times New Roman"/>
                <w:sz w:val="24"/>
                <w:szCs w:val="24"/>
              </w:rPr>
            </w:pPr>
            <w:r w:rsidRPr="00FD5B14">
              <w:rPr>
                <w:rFonts w:ascii="Times New Roman" w:eastAsia="Times New Roman" w:hAnsi="Times New Roman"/>
                <w:sz w:val="24"/>
                <w:szCs w:val="24"/>
              </w:rPr>
              <w:t>Fineness Modulus</w:t>
            </w:r>
          </w:p>
        </w:tc>
        <w:tc>
          <w:tcPr>
            <w:tcW w:w="3616" w:type="dxa"/>
            <w:shd w:val="clear" w:color="auto" w:fill="auto"/>
            <w:noWrap/>
            <w:vAlign w:val="center"/>
            <w:hideMark/>
          </w:tcPr>
          <w:p w14:paraId="4A3180E5" w14:textId="77777777" w:rsidR="00DB144E" w:rsidRPr="00FD5B14" w:rsidRDefault="00DB144E" w:rsidP="00FB7CCD">
            <w:pPr>
              <w:spacing w:after="0" w:line="360" w:lineRule="auto"/>
              <w:jc w:val="center"/>
              <w:rPr>
                <w:rFonts w:ascii="Times New Roman" w:eastAsia="Times New Roman" w:hAnsi="Times New Roman"/>
                <w:sz w:val="24"/>
                <w:szCs w:val="24"/>
              </w:rPr>
            </w:pPr>
            <w:r w:rsidRPr="00FD5B14">
              <w:rPr>
                <w:rFonts w:ascii="Times New Roman" w:hAnsi="Times New Roman"/>
                <w:sz w:val="24"/>
                <w:szCs w:val="24"/>
                <w:shd w:val="clear" w:color="auto" w:fill="FFFFFF"/>
              </w:rPr>
              <w:t>SNI 03-1968-1990</w:t>
            </w:r>
          </w:p>
        </w:tc>
      </w:tr>
    </w:tbl>
    <w:p w14:paraId="665B556B" w14:textId="6085C28B" w:rsidR="00DB144E" w:rsidRPr="00023E8E" w:rsidRDefault="007B063F" w:rsidP="00FD5B14">
      <w:pPr>
        <w:pStyle w:val="ListParagraph"/>
        <w:numPr>
          <w:ilvl w:val="0"/>
          <w:numId w:val="38"/>
        </w:numPr>
        <w:spacing w:before="360" w:after="0" w:line="360" w:lineRule="auto"/>
        <w:ind w:left="720" w:hanging="446"/>
        <w:contextualSpacing w:val="0"/>
        <w:jc w:val="both"/>
        <w:rPr>
          <w:rFonts w:ascii="Times New Roman" w:hAnsi="Times New Roman"/>
          <w:b/>
          <w:sz w:val="24"/>
          <w:szCs w:val="24"/>
        </w:rPr>
      </w:pPr>
      <w:r w:rsidRPr="007B063F">
        <w:rPr>
          <w:rFonts w:ascii="Times New Roman" w:hAnsi="Times New Roman"/>
          <w:b/>
          <w:sz w:val="24"/>
          <w:szCs w:val="24"/>
          <w:lang w:val="id-ID"/>
        </w:rPr>
        <w:t>Fabrication and Curing of Sample</w:t>
      </w:r>
    </w:p>
    <w:p w14:paraId="58E8D325" w14:textId="7D6DBDCE" w:rsidR="00DB144E" w:rsidRPr="00DB144E" w:rsidRDefault="003C7BE0" w:rsidP="00FD5B14">
      <w:pPr>
        <w:spacing w:line="360" w:lineRule="auto"/>
        <w:ind w:left="270" w:firstLine="900"/>
        <w:jc w:val="both"/>
        <w:rPr>
          <w:rFonts w:ascii="Times New Roman" w:hAnsi="Times New Roman"/>
          <w:sz w:val="24"/>
          <w:szCs w:val="24"/>
        </w:rPr>
      </w:pPr>
      <w:r w:rsidRPr="003C7BE0">
        <w:rPr>
          <w:rFonts w:ascii="Times New Roman" w:hAnsi="Times New Roman"/>
          <w:sz w:val="24"/>
          <w:szCs w:val="24"/>
        </w:rPr>
        <w:t>The production of test items is based on the findings of mixed design, and this study is divided into the following stages:</w:t>
      </w:r>
    </w:p>
    <w:p w14:paraId="10B2F1AD" w14:textId="2B77AA24" w:rsidR="00023E8E" w:rsidRPr="00023E8E" w:rsidRDefault="003C7BE0" w:rsidP="00A20B46">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Prepare a solution of alkaline activator (leave it for 24 hours)</w:t>
      </w:r>
    </w:p>
    <w:p w14:paraId="464C9C81" w14:textId="0599DA80"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Preparation of a SCGC fly ash concrete mix.</w:t>
      </w:r>
    </w:p>
    <w:p w14:paraId="041CC9C6" w14:textId="6625EA31"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Prior to placing the mixture in the cylinder, SCC new concrete is tested for slump flow, V-Tunnel, and L-Shape Box properties.</w:t>
      </w:r>
    </w:p>
    <w:p w14:paraId="5F755A4A" w14:textId="54FEC2A4"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Fill a cylindrical mold halfway with the mixture (10 cm x 20 cm).</w:t>
      </w:r>
    </w:p>
    <w:p w14:paraId="3415ACEA" w14:textId="262AEFC3" w:rsidR="003C7BE0" w:rsidRPr="003C7BE0"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Remove the test item from the mold after one day (24 hours).</w:t>
      </w:r>
    </w:p>
    <w:p w14:paraId="3DBE144F" w14:textId="5665AFD0" w:rsidR="00886F47" w:rsidRDefault="003C7BE0" w:rsidP="003C7BE0">
      <w:pPr>
        <w:pStyle w:val="ListParagraph"/>
        <w:numPr>
          <w:ilvl w:val="0"/>
          <w:numId w:val="27"/>
        </w:numPr>
        <w:spacing w:after="240" w:line="360" w:lineRule="auto"/>
        <w:ind w:left="720" w:hanging="450"/>
        <w:jc w:val="both"/>
        <w:rPr>
          <w:rFonts w:ascii="Times New Roman" w:hAnsi="Times New Roman"/>
          <w:sz w:val="24"/>
          <w:szCs w:val="24"/>
        </w:rPr>
      </w:pPr>
      <w:r w:rsidRPr="003C7BE0">
        <w:rPr>
          <w:rFonts w:ascii="Times New Roman" w:hAnsi="Times New Roman"/>
          <w:sz w:val="24"/>
          <w:szCs w:val="24"/>
        </w:rPr>
        <w:t>For 28 days, the test item is submerged in a bath of seawater.</w:t>
      </w:r>
    </w:p>
    <w:p w14:paraId="0618E96A" w14:textId="5EA94F2B" w:rsidR="00886F47" w:rsidRPr="006C1464" w:rsidRDefault="00886F47" w:rsidP="00FD5B14">
      <w:pPr>
        <w:pStyle w:val="ListParagraph"/>
        <w:numPr>
          <w:ilvl w:val="0"/>
          <w:numId w:val="38"/>
        </w:numPr>
        <w:spacing w:before="360" w:line="360" w:lineRule="auto"/>
        <w:ind w:left="720" w:hanging="446"/>
        <w:contextualSpacing w:val="0"/>
        <w:jc w:val="both"/>
        <w:rPr>
          <w:rFonts w:ascii="Times New Roman" w:hAnsi="Times New Roman"/>
          <w:b/>
          <w:sz w:val="24"/>
          <w:szCs w:val="24"/>
        </w:rPr>
      </w:pPr>
      <w:r w:rsidRPr="006C1464">
        <w:rPr>
          <w:rFonts w:ascii="Times New Roman" w:hAnsi="Times New Roman"/>
          <w:b/>
          <w:sz w:val="24"/>
          <w:szCs w:val="24"/>
        </w:rPr>
        <w:t xml:space="preserve">Mix Design </w:t>
      </w:r>
      <w:r w:rsidR="003C7BE0">
        <w:rPr>
          <w:rFonts w:ascii="Times New Roman" w:hAnsi="Times New Roman"/>
          <w:b/>
          <w:sz w:val="24"/>
          <w:szCs w:val="24"/>
        </w:rPr>
        <w:t>of</w:t>
      </w:r>
      <w:r w:rsidRPr="006C1464">
        <w:rPr>
          <w:rFonts w:ascii="Times New Roman" w:hAnsi="Times New Roman"/>
          <w:b/>
          <w:sz w:val="24"/>
          <w:szCs w:val="24"/>
        </w:rPr>
        <w:t xml:space="preserve"> SC</w:t>
      </w:r>
      <w:r w:rsidRPr="00886F47">
        <w:rPr>
          <w:rFonts w:ascii="Times New Roman" w:hAnsi="Times New Roman"/>
          <w:b/>
          <w:sz w:val="24"/>
          <w:szCs w:val="24"/>
        </w:rPr>
        <w:t>G</w:t>
      </w:r>
      <w:r w:rsidRPr="006C1464">
        <w:rPr>
          <w:rFonts w:ascii="Times New Roman" w:hAnsi="Times New Roman"/>
          <w:b/>
          <w:sz w:val="24"/>
          <w:szCs w:val="24"/>
        </w:rPr>
        <w:t>C</w:t>
      </w:r>
    </w:p>
    <w:p w14:paraId="04BF3824" w14:textId="5758A608" w:rsidR="00886F47" w:rsidRDefault="003C7BE0" w:rsidP="00886F47">
      <w:pPr>
        <w:spacing w:line="360" w:lineRule="auto"/>
        <w:ind w:left="270" w:firstLine="1170"/>
        <w:jc w:val="both"/>
        <w:rPr>
          <w:rFonts w:ascii="Times New Roman" w:hAnsi="Times New Roman"/>
          <w:sz w:val="24"/>
          <w:szCs w:val="24"/>
        </w:rPr>
      </w:pPr>
      <w:r w:rsidRPr="003C7BE0">
        <w:rPr>
          <w:rFonts w:ascii="Times New Roman" w:hAnsi="Times New Roman"/>
          <w:sz w:val="24"/>
          <w:szCs w:val="24"/>
          <w:lang w:val="id-ID"/>
        </w:rPr>
        <w:t>Prior to sampling, a mix design was performed utilizing the EFNARC technique. The specimens were produced with varying molarities (11M, 12M, 13M, 14M, and 15M) and alkaline modulus 2, the water used to cure seawater and air-cured specimens, respectively. Prior to placing the mixture in the cylinder, SCC fresh concrete is evaluated using The Europan Guidelines for SCC (2005) technique, namely Slump flow, V-Tunnel, and L-Shape Box. The material requirements for six samples per mix are determined using the mix design calculation. Table 3 details the composition of the SCGC concrete mixture.</w:t>
      </w:r>
      <w:r w:rsidR="00886F47">
        <w:rPr>
          <w:rFonts w:ascii="Times New Roman" w:hAnsi="Times New Roman"/>
          <w:sz w:val="24"/>
          <w:szCs w:val="24"/>
        </w:rPr>
        <w:t xml:space="preserve"> </w:t>
      </w:r>
    </w:p>
    <w:p w14:paraId="6511D01E" w14:textId="77777777" w:rsidR="00FD5B14" w:rsidRPr="00244AAA" w:rsidRDefault="00FD5B14" w:rsidP="00FD5B14">
      <w:pPr>
        <w:spacing w:before="240" w:line="360" w:lineRule="auto"/>
        <w:ind w:left="270" w:firstLine="810"/>
        <w:jc w:val="both"/>
        <w:rPr>
          <w:rFonts w:ascii="Times New Roman" w:hAnsi="Times New Roman"/>
          <w:sz w:val="24"/>
          <w:szCs w:val="24"/>
        </w:rPr>
      </w:pPr>
      <w:r w:rsidRPr="004435BE">
        <w:rPr>
          <w:rFonts w:ascii="Times New Roman" w:hAnsi="Times New Roman"/>
          <w:sz w:val="24"/>
          <w:szCs w:val="24"/>
        </w:rPr>
        <w:t>The cylindrical test item has a diameter of 10 cm and a height of 20 cm. For each variation of three samples, samples were taken. Three samples were taken for seawater curing compressive strength, three samples for air curing compressive strength, three samples for seawater curing tensile strength, and three samples for air curing splitting strength for each molar variation. Table 4 shows the total number of test items.</w:t>
      </w:r>
    </w:p>
    <w:p w14:paraId="7EE6532D" w14:textId="77777777" w:rsidR="00FD5B14" w:rsidRDefault="00FD5B14" w:rsidP="00886F47">
      <w:pPr>
        <w:spacing w:line="360" w:lineRule="auto"/>
        <w:ind w:left="270" w:firstLine="1170"/>
        <w:jc w:val="both"/>
        <w:rPr>
          <w:rFonts w:ascii="Times New Roman" w:hAnsi="Times New Roman"/>
          <w:sz w:val="24"/>
          <w:szCs w:val="24"/>
        </w:rPr>
      </w:pPr>
    </w:p>
    <w:p w14:paraId="36D96C22" w14:textId="17718A05" w:rsidR="00886F47" w:rsidRPr="007F4B5B" w:rsidRDefault="004435BE" w:rsidP="00FD5B14">
      <w:pPr>
        <w:spacing w:after="0" w:line="360" w:lineRule="auto"/>
        <w:ind w:left="274"/>
        <w:jc w:val="both"/>
        <w:rPr>
          <w:rFonts w:ascii="Times New Roman" w:hAnsi="Times New Roman"/>
          <w:sz w:val="24"/>
          <w:szCs w:val="24"/>
        </w:rPr>
      </w:pPr>
      <w:r w:rsidRPr="004435BE">
        <w:rPr>
          <w:rFonts w:ascii="Times New Roman" w:hAnsi="Times New Roman"/>
          <w:b/>
          <w:bCs/>
          <w:sz w:val="24"/>
          <w:szCs w:val="24"/>
        </w:rPr>
        <w:t>Table 3</w:t>
      </w:r>
      <w:r w:rsidRPr="004435BE">
        <w:rPr>
          <w:rFonts w:ascii="Times New Roman" w:hAnsi="Times New Roman"/>
          <w:sz w:val="24"/>
          <w:szCs w:val="24"/>
        </w:rPr>
        <w:t xml:space="preserve"> Composition </w:t>
      </w:r>
      <w:r w:rsidR="001404A9">
        <w:rPr>
          <w:rFonts w:ascii="Times New Roman" w:hAnsi="Times New Roman"/>
          <w:sz w:val="24"/>
          <w:szCs w:val="24"/>
        </w:rPr>
        <w:t xml:space="preserve">of the  </w:t>
      </w:r>
      <w:r w:rsidRPr="004435BE">
        <w:rPr>
          <w:rFonts w:ascii="Times New Roman" w:hAnsi="Times New Roman"/>
          <w:sz w:val="24"/>
          <w:szCs w:val="24"/>
        </w:rPr>
        <w:t>SCGC Concrete (6 samples)</w:t>
      </w:r>
    </w:p>
    <w:tbl>
      <w:tblPr>
        <w:tblW w:w="8575" w:type="dxa"/>
        <w:tblInd w:w="270" w:type="dxa"/>
        <w:tblLook w:val="04A0" w:firstRow="1" w:lastRow="0" w:firstColumn="1" w:lastColumn="0" w:noHBand="0" w:noVBand="1"/>
      </w:tblPr>
      <w:tblGrid>
        <w:gridCol w:w="987"/>
        <w:gridCol w:w="619"/>
        <w:gridCol w:w="998"/>
        <w:gridCol w:w="1053"/>
        <w:gridCol w:w="976"/>
        <w:gridCol w:w="708"/>
        <w:gridCol w:w="742"/>
        <w:gridCol w:w="962"/>
        <w:gridCol w:w="818"/>
        <w:gridCol w:w="712"/>
      </w:tblGrid>
      <w:tr w:rsidR="004435BE" w:rsidRPr="00DE0E00" w14:paraId="05D0B1DC" w14:textId="77777777" w:rsidTr="00E056E6">
        <w:trPr>
          <w:trHeight w:val="449"/>
        </w:trPr>
        <w:tc>
          <w:tcPr>
            <w:tcW w:w="7045" w:type="dxa"/>
            <w:gridSpan w:val="8"/>
            <w:tcBorders>
              <w:top w:val="single" w:sz="4" w:space="0" w:color="auto"/>
              <w:left w:val="nil"/>
              <w:bottom w:val="nil"/>
              <w:right w:val="nil"/>
            </w:tcBorders>
            <w:shd w:val="clear" w:color="auto" w:fill="auto"/>
            <w:noWrap/>
            <w:vAlign w:val="center"/>
            <w:hideMark/>
          </w:tcPr>
          <w:p w14:paraId="4E1630E3" w14:textId="26AF688E" w:rsidR="00886F47" w:rsidRPr="004435BE" w:rsidRDefault="00886F47" w:rsidP="000C7569">
            <w:pPr>
              <w:spacing w:after="0" w:line="240" w:lineRule="auto"/>
              <w:jc w:val="center"/>
              <w:rPr>
                <w:rFonts w:ascii="Times New Roman" w:eastAsia="Times New Roman" w:hAnsi="Times New Roman"/>
                <w:color w:val="000000"/>
                <w:sz w:val="14"/>
                <w:szCs w:val="14"/>
                <w:lang w:eastAsia="id-ID"/>
              </w:rPr>
            </w:pPr>
            <w:r w:rsidRPr="004435BE">
              <w:rPr>
                <w:rFonts w:ascii="Times New Roman" w:eastAsia="Times New Roman" w:hAnsi="Times New Roman"/>
                <w:color w:val="000000"/>
                <w:sz w:val="14"/>
                <w:szCs w:val="14"/>
                <w:lang w:eastAsia="id-ID"/>
              </w:rPr>
              <w:t>Material</w:t>
            </w:r>
            <w:r w:rsidR="004435BE">
              <w:rPr>
                <w:rFonts w:ascii="Times New Roman" w:eastAsia="Times New Roman" w:hAnsi="Times New Roman"/>
                <w:color w:val="000000"/>
                <w:sz w:val="14"/>
                <w:szCs w:val="14"/>
                <w:lang w:eastAsia="id-ID"/>
              </w:rPr>
              <w:t>s</w:t>
            </w:r>
          </w:p>
        </w:tc>
        <w:tc>
          <w:tcPr>
            <w:tcW w:w="818" w:type="dxa"/>
            <w:vMerge w:val="restart"/>
            <w:tcBorders>
              <w:top w:val="single" w:sz="4" w:space="0" w:color="auto"/>
              <w:left w:val="nil"/>
              <w:bottom w:val="single" w:sz="4" w:space="0" w:color="000000"/>
              <w:right w:val="nil"/>
            </w:tcBorders>
            <w:shd w:val="clear" w:color="auto" w:fill="auto"/>
            <w:noWrap/>
            <w:vAlign w:val="center"/>
            <w:hideMark/>
          </w:tcPr>
          <w:p w14:paraId="445E5AD1" w14:textId="77777777" w:rsidR="00886F47" w:rsidRPr="004435BE" w:rsidRDefault="00886F47" w:rsidP="000C7569">
            <w:pPr>
              <w:spacing w:after="0" w:line="240" w:lineRule="auto"/>
              <w:jc w:val="center"/>
              <w:rPr>
                <w:rFonts w:ascii="Times New Roman" w:eastAsia="Times New Roman" w:hAnsi="Times New Roman"/>
                <w:color w:val="000000"/>
                <w:sz w:val="14"/>
                <w:szCs w:val="14"/>
                <w:lang w:val="id-ID" w:eastAsia="id-ID"/>
              </w:rPr>
            </w:pPr>
            <w:r w:rsidRPr="004435BE">
              <w:rPr>
                <w:rFonts w:ascii="Times New Roman" w:eastAsia="Times New Roman" w:hAnsi="Times New Roman"/>
                <w:color w:val="000000"/>
                <w:sz w:val="14"/>
                <w:szCs w:val="14"/>
                <w:lang w:val="id-ID" w:eastAsia="id-ID"/>
              </w:rPr>
              <w:t>Viscocrete</w:t>
            </w:r>
          </w:p>
        </w:tc>
        <w:tc>
          <w:tcPr>
            <w:tcW w:w="712" w:type="dxa"/>
            <w:vMerge w:val="restart"/>
            <w:tcBorders>
              <w:top w:val="single" w:sz="4" w:space="0" w:color="auto"/>
              <w:left w:val="nil"/>
              <w:bottom w:val="single" w:sz="4" w:space="0" w:color="000000"/>
              <w:right w:val="nil"/>
            </w:tcBorders>
            <w:shd w:val="clear" w:color="auto" w:fill="auto"/>
            <w:noWrap/>
            <w:vAlign w:val="center"/>
            <w:hideMark/>
          </w:tcPr>
          <w:p w14:paraId="72CEE268" w14:textId="77777777" w:rsidR="00886F47" w:rsidRPr="004435BE" w:rsidRDefault="00886F47" w:rsidP="000C7569">
            <w:pPr>
              <w:spacing w:after="0" w:line="240" w:lineRule="auto"/>
              <w:jc w:val="center"/>
              <w:rPr>
                <w:rFonts w:ascii="Times New Roman" w:eastAsia="Times New Roman" w:hAnsi="Times New Roman"/>
                <w:color w:val="000000"/>
                <w:sz w:val="14"/>
                <w:szCs w:val="14"/>
                <w:lang w:val="id-ID" w:eastAsia="id-ID"/>
              </w:rPr>
            </w:pPr>
            <w:r w:rsidRPr="004435BE">
              <w:rPr>
                <w:rFonts w:ascii="Times New Roman" w:eastAsia="Times New Roman" w:hAnsi="Times New Roman"/>
                <w:color w:val="000000"/>
                <w:sz w:val="14"/>
                <w:szCs w:val="14"/>
                <w:lang w:val="id-ID" w:eastAsia="id-ID"/>
              </w:rPr>
              <w:t>Retarder</w:t>
            </w:r>
          </w:p>
        </w:tc>
      </w:tr>
      <w:tr w:rsidR="004435BE" w:rsidRPr="00DE0E00" w14:paraId="5F7E1EEC" w14:textId="77777777" w:rsidTr="00E056E6">
        <w:trPr>
          <w:trHeight w:val="449"/>
        </w:trPr>
        <w:tc>
          <w:tcPr>
            <w:tcW w:w="987" w:type="dxa"/>
            <w:tcBorders>
              <w:top w:val="single" w:sz="4" w:space="0" w:color="auto"/>
              <w:left w:val="nil"/>
              <w:bottom w:val="single" w:sz="4" w:space="0" w:color="auto"/>
              <w:right w:val="nil"/>
            </w:tcBorders>
            <w:shd w:val="clear" w:color="auto" w:fill="auto"/>
            <w:noWrap/>
            <w:vAlign w:val="center"/>
            <w:hideMark/>
          </w:tcPr>
          <w:p w14:paraId="324404FD" w14:textId="77777777" w:rsidR="00886F47" w:rsidRPr="004435BE" w:rsidRDefault="00886F47" w:rsidP="000C7569">
            <w:pPr>
              <w:spacing w:after="0" w:line="240" w:lineRule="auto"/>
              <w:jc w:val="center"/>
              <w:rPr>
                <w:rFonts w:ascii="Times New Roman" w:eastAsia="Times New Roman" w:hAnsi="Times New Roman"/>
                <w:color w:val="000000"/>
                <w:sz w:val="20"/>
                <w:szCs w:val="20"/>
                <w:lang w:val="id-ID" w:eastAsia="id-ID"/>
              </w:rPr>
            </w:pPr>
            <w:r w:rsidRPr="004435BE">
              <w:rPr>
                <w:rFonts w:ascii="Times New Roman" w:eastAsia="Times New Roman" w:hAnsi="Times New Roman"/>
                <w:color w:val="000000"/>
                <w:sz w:val="20"/>
                <w:szCs w:val="20"/>
                <w:lang w:val="id-ID" w:eastAsia="id-ID"/>
              </w:rPr>
              <w:t>Molaritas</w:t>
            </w:r>
          </w:p>
        </w:tc>
        <w:tc>
          <w:tcPr>
            <w:tcW w:w="619" w:type="dxa"/>
            <w:tcBorders>
              <w:top w:val="single" w:sz="4" w:space="0" w:color="auto"/>
              <w:left w:val="nil"/>
              <w:bottom w:val="single" w:sz="4" w:space="0" w:color="auto"/>
              <w:right w:val="nil"/>
            </w:tcBorders>
            <w:shd w:val="clear" w:color="auto" w:fill="auto"/>
            <w:noWrap/>
            <w:vAlign w:val="center"/>
            <w:hideMark/>
          </w:tcPr>
          <w:p w14:paraId="76801CFF" w14:textId="4E9EC293" w:rsidR="00886F47" w:rsidRPr="004435BE" w:rsidRDefault="004435BE" w:rsidP="000C7569">
            <w:pPr>
              <w:spacing w:after="0" w:line="240" w:lineRule="auto"/>
              <w:jc w:val="center"/>
              <w:rPr>
                <w:rFonts w:ascii="Times New Roman" w:eastAsia="Times New Roman" w:hAnsi="Times New Roman"/>
                <w:color w:val="000000"/>
                <w:sz w:val="20"/>
                <w:szCs w:val="20"/>
                <w:lang w:eastAsia="id-ID"/>
              </w:rPr>
            </w:pPr>
            <w:r w:rsidRPr="004435BE">
              <w:rPr>
                <w:rFonts w:ascii="Times New Roman" w:eastAsia="Times New Roman" w:hAnsi="Times New Roman"/>
                <w:color w:val="000000"/>
                <w:sz w:val="20"/>
                <w:szCs w:val="20"/>
                <w:lang w:eastAsia="id-ID"/>
              </w:rPr>
              <w:t>Fly Ash</w:t>
            </w:r>
          </w:p>
        </w:tc>
        <w:tc>
          <w:tcPr>
            <w:tcW w:w="998" w:type="dxa"/>
            <w:tcBorders>
              <w:top w:val="single" w:sz="4" w:space="0" w:color="auto"/>
              <w:left w:val="nil"/>
              <w:bottom w:val="single" w:sz="4" w:space="0" w:color="auto"/>
              <w:right w:val="nil"/>
            </w:tcBorders>
            <w:shd w:val="clear" w:color="auto" w:fill="auto"/>
            <w:noWrap/>
            <w:vAlign w:val="center"/>
            <w:hideMark/>
          </w:tcPr>
          <w:p w14:paraId="2BE56098" w14:textId="7A98A138" w:rsidR="00886F47" w:rsidRPr="004435BE" w:rsidRDefault="004435BE" w:rsidP="000C7569">
            <w:pPr>
              <w:spacing w:after="0" w:line="240" w:lineRule="auto"/>
              <w:jc w:val="center"/>
              <w:rPr>
                <w:rFonts w:ascii="Times New Roman" w:eastAsia="Times New Roman" w:hAnsi="Times New Roman"/>
                <w:color w:val="000000"/>
                <w:sz w:val="20"/>
                <w:szCs w:val="20"/>
                <w:lang w:eastAsia="id-ID"/>
              </w:rPr>
            </w:pPr>
            <w:r w:rsidRPr="004435BE">
              <w:rPr>
                <w:rFonts w:ascii="Times New Roman" w:eastAsia="Times New Roman" w:hAnsi="Times New Roman"/>
                <w:color w:val="000000"/>
                <w:sz w:val="20"/>
                <w:szCs w:val="20"/>
                <w:lang w:eastAsia="id-ID"/>
              </w:rPr>
              <w:t>Fine aggregate</w:t>
            </w:r>
          </w:p>
        </w:tc>
        <w:tc>
          <w:tcPr>
            <w:tcW w:w="1053" w:type="dxa"/>
            <w:tcBorders>
              <w:top w:val="single" w:sz="4" w:space="0" w:color="auto"/>
              <w:left w:val="nil"/>
              <w:bottom w:val="single" w:sz="4" w:space="0" w:color="auto"/>
              <w:right w:val="nil"/>
            </w:tcBorders>
            <w:shd w:val="clear" w:color="auto" w:fill="auto"/>
            <w:noWrap/>
            <w:vAlign w:val="center"/>
            <w:hideMark/>
          </w:tcPr>
          <w:p w14:paraId="19B767BC" w14:textId="5471BAB2" w:rsidR="00886F47" w:rsidRPr="004435BE" w:rsidRDefault="004435BE" w:rsidP="000C7569">
            <w:pPr>
              <w:spacing w:after="0" w:line="240" w:lineRule="auto"/>
              <w:jc w:val="center"/>
              <w:rPr>
                <w:rFonts w:ascii="Times New Roman" w:eastAsia="Times New Roman" w:hAnsi="Times New Roman"/>
                <w:color w:val="000000"/>
                <w:sz w:val="20"/>
                <w:szCs w:val="20"/>
                <w:lang w:eastAsia="id-ID"/>
              </w:rPr>
            </w:pPr>
            <w:r w:rsidRPr="004435BE">
              <w:rPr>
                <w:rFonts w:ascii="Times New Roman" w:eastAsia="Times New Roman" w:hAnsi="Times New Roman"/>
                <w:color w:val="000000"/>
                <w:sz w:val="20"/>
                <w:szCs w:val="20"/>
                <w:lang w:eastAsia="id-ID"/>
              </w:rPr>
              <w:t>Coarse Aggregate</w:t>
            </w:r>
          </w:p>
        </w:tc>
        <w:tc>
          <w:tcPr>
            <w:tcW w:w="976" w:type="dxa"/>
            <w:tcBorders>
              <w:top w:val="single" w:sz="4" w:space="0" w:color="auto"/>
              <w:left w:val="nil"/>
              <w:bottom w:val="single" w:sz="4" w:space="0" w:color="auto"/>
              <w:right w:val="nil"/>
            </w:tcBorders>
            <w:shd w:val="clear" w:color="auto" w:fill="auto"/>
            <w:noWrap/>
            <w:vAlign w:val="center"/>
            <w:hideMark/>
          </w:tcPr>
          <w:p w14:paraId="2C1359D6" w14:textId="7C56D7E4" w:rsidR="00886F47" w:rsidRPr="004435BE" w:rsidRDefault="004435BE" w:rsidP="000C7569">
            <w:pPr>
              <w:spacing w:after="0" w:line="240" w:lineRule="auto"/>
              <w:jc w:val="center"/>
              <w:rPr>
                <w:rFonts w:ascii="Times New Roman" w:eastAsia="Times New Roman" w:hAnsi="Times New Roman"/>
                <w:color w:val="000000"/>
                <w:sz w:val="20"/>
                <w:szCs w:val="20"/>
                <w:lang w:eastAsia="id-ID"/>
              </w:rPr>
            </w:pPr>
            <w:r w:rsidRPr="004435BE">
              <w:rPr>
                <w:rFonts w:ascii="Times New Roman" w:eastAsia="Times New Roman" w:hAnsi="Times New Roman"/>
                <w:color w:val="000000"/>
                <w:sz w:val="20"/>
                <w:szCs w:val="20"/>
                <w:lang w:eastAsia="id-ID"/>
              </w:rPr>
              <w:t>Activator</w:t>
            </w:r>
          </w:p>
        </w:tc>
        <w:tc>
          <w:tcPr>
            <w:tcW w:w="708" w:type="dxa"/>
            <w:tcBorders>
              <w:top w:val="single" w:sz="4" w:space="0" w:color="auto"/>
              <w:left w:val="nil"/>
              <w:bottom w:val="single" w:sz="4" w:space="0" w:color="auto"/>
              <w:right w:val="nil"/>
            </w:tcBorders>
            <w:shd w:val="clear" w:color="auto" w:fill="auto"/>
            <w:noWrap/>
            <w:vAlign w:val="center"/>
            <w:hideMark/>
          </w:tcPr>
          <w:p w14:paraId="7D6A259B" w14:textId="54B847E2" w:rsidR="00886F47" w:rsidRPr="004435BE" w:rsidRDefault="004435BE" w:rsidP="000C7569">
            <w:pPr>
              <w:spacing w:after="0" w:line="240" w:lineRule="auto"/>
              <w:jc w:val="center"/>
              <w:rPr>
                <w:rFonts w:ascii="Times New Roman" w:eastAsia="Times New Roman" w:hAnsi="Times New Roman"/>
                <w:color w:val="000000"/>
                <w:sz w:val="20"/>
                <w:szCs w:val="20"/>
                <w:lang w:eastAsia="id-ID"/>
              </w:rPr>
            </w:pPr>
            <w:r w:rsidRPr="004435BE">
              <w:rPr>
                <w:rFonts w:ascii="Times New Roman" w:eastAsia="Times New Roman" w:hAnsi="Times New Roman"/>
                <w:color w:val="000000"/>
                <w:sz w:val="20"/>
                <w:szCs w:val="20"/>
                <w:lang w:eastAsia="id-ID"/>
              </w:rPr>
              <w:t>Water</w:t>
            </w:r>
          </w:p>
        </w:tc>
        <w:tc>
          <w:tcPr>
            <w:tcW w:w="742" w:type="dxa"/>
            <w:tcBorders>
              <w:top w:val="single" w:sz="4" w:space="0" w:color="auto"/>
              <w:left w:val="nil"/>
              <w:bottom w:val="single" w:sz="4" w:space="0" w:color="auto"/>
              <w:right w:val="nil"/>
            </w:tcBorders>
            <w:shd w:val="clear" w:color="auto" w:fill="auto"/>
            <w:noWrap/>
            <w:vAlign w:val="center"/>
            <w:hideMark/>
          </w:tcPr>
          <w:p w14:paraId="6C31945B" w14:textId="77777777" w:rsidR="00886F47" w:rsidRPr="004435BE" w:rsidRDefault="00886F47" w:rsidP="000C7569">
            <w:pPr>
              <w:spacing w:after="0" w:line="240" w:lineRule="auto"/>
              <w:jc w:val="center"/>
              <w:rPr>
                <w:rFonts w:ascii="Times New Roman" w:eastAsia="Times New Roman" w:hAnsi="Times New Roman"/>
                <w:color w:val="000000"/>
                <w:sz w:val="20"/>
                <w:szCs w:val="20"/>
                <w:lang w:val="id-ID" w:eastAsia="id-ID"/>
              </w:rPr>
            </w:pPr>
            <w:r w:rsidRPr="004435BE">
              <w:rPr>
                <w:rFonts w:ascii="Times New Roman" w:eastAsia="Times New Roman" w:hAnsi="Times New Roman"/>
                <w:color w:val="000000"/>
                <w:sz w:val="20"/>
                <w:szCs w:val="20"/>
                <w:lang w:val="id-ID" w:eastAsia="id-ID"/>
              </w:rPr>
              <w:t>NaOH</w:t>
            </w:r>
          </w:p>
        </w:tc>
        <w:tc>
          <w:tcPr>
            <w:tcW w:w="959" w:type="dxa"/>
            <w:tcBorders>
              <w:top w:val="single" w:sz="4" w:space="0" w:color="auto"/>
              <w:left w:val="nil"/>
              <w:bottom w:val="single" w:sz="4" w:space="0" w:color="auto"/>
              <w:right w:val="nil"/>
            </w:tcBorders>
            <w:shd w:val="clear" w:color="auto" w:fill="auto"/>
            <w:noWrap/>
            <w:vAlign w:val="center"/>
            <w:hideMark/>
          </w:tcPr>
          <w:p w14:paraId="45155A60" w14:textId="77777777" w:rsidR="00886F47" w:rsidRPr="004435BE" w:rsidRDefault="00886F47" w:rsidP="000C7569">
            <w:pPr>
              <w:spacing w:after="0" w:line="240" w:lineRule="auto"/>
              <w:jc w:val="center"/>
              <w:rPr>
                <w:rFonts w:ascii="Times New Roman" w:eastAsia="Times New Roman" w:hAnsi="Times New Roman"/>
                <w:color w:val="000000"/>
                <w:sz w:val="20"/>
                <w:szCs w:val="20"/>
                <w:lang w:val="id-ID" w:eastAsia="id-ID"/>
              </w:rPr>
            </w:pPr>
            <w:r w:rsidRPr="004435BE">
              <w:rPr>
                <w:rFonts w:ascii="Times New Roman" w:eastAsia="Times New Roman" w:hAnsi="Times New Roman"/>
                <w:color w:val="000000"/>
                <w:sz w:val="20"/>
                <w:szCs w:val="20"/>
                <w:lang w:val="id-ID" w:eastAsia="id-ID"/>
              </w:rPr>
              <w:t>Na</w:t>
            </w:r>
            <w:r w:rsidRPr="004435BE">
              <w:rPr>
                <w:rFonts w:ascii="Times New Roman" w:eastAsia="Times New Roman" w:hAnsi="Times New Roman"/>
                <w:color w:val="000000"/>
                <w:sz w:val="20"/>
                <w:szCs w:val="20"/>
                <w:vertAlign w:val="subscript"/>
                <w:lang w:val="id-ID" w:eastAsia="id-ID"/>
              </w:rPr>
              <w:t>2</w:t>
            </w:r>
            <w:r w:rsidRPr="004435BE">
              <w:rPr>
                <w:rFonts w:ascii="Times New Roman" w:eastAsia="Times New Roman" w:hAnsi="Times New Roman"/>
                <w:color w:val="000000"/>
                <w:sz w:val="20"/>
                <w:szCs w:val="20"/>
                <w:lang w:val="id-ID" w:eastAsia="id-ID"/>
              </w:rPr>
              <w:t>SiO3</w:t>
            </w:r>
          </w:p>
        </w:tc>
        <w:tc>
          <w:tcPr>
            <w:tcW w:w="818" w:type="dxa"/>
            <w:vMerge/>
            <w:tcBorders>
              <w:top w:val="single" w:sz="4" w:space="0" w:color="auto"/>
              <w:left w:val="nil"/>
              <w:bottom w:val="single" w:sz="4" w:space="0" w:color="000000"/>
              <w:right w:val="nil"/>
            </w:tcBorders>
            <w:vAlign w:val="center"/>
            <w:hideMark/>
          </w:tcPr>
          <w:p w14:paraId="5F38DD54" w14:textId="77777777" w:rsidR="00886F47" w:rsidRPr="004435BE" w:rsidRDefault="00886F47" w:rsidP="000C7569">
            <w:pPr>
              <w:spacing w:after="0" w:line="240" w:lineRule="auto"/>
              <w:rPr>
                <w:rFonts w:ascii="Times New Roman" w:eastAsia="Times New Roman" w:hAnsi="Times New Roman"/>
                <w:color w:val="000000"/>
                <w:sz w:val="14"/>
                <w:szCs w:val="14"/>
                <w:lang w:val="id-ID" w:eastAsia="id-ID"/>
              </w:rPr>
            </w:pPr>
          </w:p>
        </w:tc>
        <w:tc>
          <w:tcPr>
            <w:tcW w:w="712" w:type="dxa"/>
            <w:vMerge/>
            <w:tcBorders>
              <w:top w:val="single" w:sz="4" w:space="0" w:color="auto"/>
              <w:left w:val="nil"/>
              <w:bottom w:val="single" w:sz="4" w:space="0" w:color="000000"/>
              <w:right w:val="nil"/>
            </w:tcBorders>
            <w:vAlign w:val="center"/>
            <w:hideMark/>
          </w:tcPr>
          <w:p w14:paraId="238FD228" w14:textId="77777777" w:rsidR="00886F47" w:rsidRPr="004435BE" w:rsidRDefault="00886F47" w:rsidP="000C7569">
            <w:pPr>
              <w:spacing w:after="0" w:line="240" w:lineRule="auto"/>
              <w:rPr>
                <w:rFonts w:ascii="Times New Roman" w:eastAsia="Times New Roman" w:hAnsi="Times New Roman"/>
                <w:color w:val="000000"/>
                <w:sz w:val="14"/>
                <w:szCs w:val="14"/>
                <w:lang w:val="id-ID" w:eastAsia="id-ID"/>
              </w:rPr>
            </w:pPr>
          </w:p>
        </w:tc>
      </w:tr>
      <w:tr w:rsidR="004435BE" w:rsidRPr="00DE0E00" w14:paraId="44025386" w14:textId="77777777" w:rsidTr="00E056E6">
        <w:trPr>
          <w:trHeight w:val="449"/>
        </w:trPr>
        <w:tc>
          <w:tcPr>
            <w:tcW w:w="987" w:type="dxa"/>
            <w:tcBorders>
              <w:top w:val="nil"/>
              <w:left w:val="nil"/>
              <w:bottom w:val="nil"/>
              <w:right w:val="nil"/>
            </w:tcBorders>
            <w:shd w:val="clear" w:color="auto" w:fill="auto"/>
            <w:noWrap/>
            <w:vAlign w:val="center"/>
            <w:hideMark/>
          </w:tcPr>
          <w:p w14:paraId="04752E23"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w:t>
            </w:r>
          </w:p>
        </w:tc>
        <w:tc>
          <w:tcPr>
            <w:tcW w:w="619" w:type="dxa"/>
            <w:tcBorders>
              <w:top w:val="nil"/>
              <w:left w:val="nil"/>
              <w:bottom w:val="nil"/>
              <w:right w:val="nil"/>
            </w:tcBorders>
            <w:shd w:val="clear" w:color="auto" w:fill="auto"/>
            <w:noWrap/>
            <w:vAlign w:val="center"/>
            <w:hideMark/>
          </w:tcPr>
          <w:p w14:paraId="1E77A57F"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6F14B620"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089BE449"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F918555"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6CB4EC49"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1220</w:t>
            </w:r>
          </w:p>
        </w:tc>
        <w:tc>
          <w:tcPr>
            <w:tcW w:w="742" w:type="dxa"/>
            <w:tcBorders>
              <w:top w:val="nil"/>
              <w:left w:val="nil"/>
              <w:bottom w:val="nil"/>
              <w:right w:val="nil"/>
            </w:tcBorders>
            <w:shd w:val="clear" w:color="auto" w:fill="auto"/>
            <w:noWrap/>
            <w:vAlign w:val="center"/>
            <w:hideMark/>
          </w:tcPr>
          <w:p w14:paraId="73D9A7A0"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537</w:t>
            </w:r>
          </w:p>
        </w:tc>
        <w:tc>
          <w:tcPr>
            <w:tcW w:w="959" w:type="dxa"/>
            <w:tcBorders>
              <w:top w:val="nil"/>
              <w:left w:val="nil"/>
              <w:bottom w:val="nil"/>
              <w:right w:val="nil"/>
            </w:tcBorders>
            <w:shd w:val="clear" w:color="auto" w:fill="auto"/>
            <w:noWrap/>
            <w:vAlign w:val="center"/>
            <w:hideMark/>
          </w:tcPr>
          <w:p w14:paraId="00008FC1"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1073</w:t>
            </w:r>
          </w:p>
        </w:tc>
        <w:tc>
          <w:tcPr>
            <w:tcW w:w="818" w:type="dxa"/>
            <w:tcBorders>
              <w:top w:val="nil"/>
              <w:left w:val="nil"/>
              <w:bottom w:val="nil"/>
              <w:right w:val="nil"/>
            </w:tcBorders>
            <w:shd w:val="clear" w:color="auto" w:fill="auto"/>
            <w:noWrap/>
            <w:vAlign w:val="center"/>
            <w:hideMark/>
          </w:tcPr>
          <w:p w14:paraId="30977E82"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3EDD1F30"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14</w:t>
            </w:r>
            <w:r>
              <w:rPr>
                <w:rFonts w:eastAsia="Times New Roman"/>
                <w:color w:val="000000"/>
                <w:sz w:val="20"/>
                <w:szCs w:val="20"/>
                <w:lang w:eastAsia="id-ID"/>
              </w:rPr>
              <w:t>2</w:t>
            </w:r>
          </w:p>
        </w:tc>
      </w:tr>
      <w:tr w:rsidR="004435BE" w:rsidRPr="00DE0E00" w14:paraId="76AEB4E5" w14:textId="77777777" w:rsidTr="00E056E6">
        <w:trPr>
          <w:trHeight w:val="449"/>
        </w:trPr>
        <w:tc>
          <w:tcPr>
            <w:tcW w:w="987" w:type="dxa"/>
            <w:tcBorders>
              <w:top w:val="nil"/>
              <w:left w:val="nil"/>
              <w:bottom w:val="nil"/>
              <w:right w:val="nil"/>
            </w:tcBorders>
            <w:shd w:val="clear" w:color="auto" w:fill="auto"/>
            <w:noWrap/>
            <w:vAlign w:val="center"/>
            <w:hideMark/>
          </w:tcPr>
          <w:p w14:paraId="284B026A"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12</w:t>
            </w:r>
          </w:p>
        </w:tc>
        <w:tc>
          <w:tcPr>
            <w:tcW w:w="619" w:type="dxa"/>
            <w:tcBorders>
              <w:top w:val="nil"/>
              <w:left w:val="nil"/>
              <w:bottom w:val="nil"/>
              <w:right w:val="nil"/>
            </w:tcBorders>
            <w:shd w:val="clear" w:color="auto" w:fill="auto"/>
            <w:noWrap/>
            <w:vAlign w:val="center"/>
            <w:hideMark/>
          </w:tcPr>
          <w:p w14:paraId="60A861F7"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36C3292E"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780FAB7D"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0C32DC30"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1635E7FE"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1160</w:t>
            </w:r>
          </w:p>
        </w:tc>
        <w:tc>
          <w:tcPr>
            <w:tcW w:w="742" w:type="dxa"/>
            <w:tcBorders>
              <w:top w:val="nil"/>
              <w:left w:val="nil"/>
              <w:bottom w:val="nil"/>
              <w:right w:val="nil"/>
            </w:tcBorders>
            <w:shd w:val="clear" w:color="auto" w:fill="auto"/>
            <w:noWrap/>
            <w:vAlign w:val="center"/>
            <w:hideMark/>
          </w:tcPr>
          <w:p w14:paraId="2D11CAD9"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557</w:t>
            </w:r>
          </w:p>
        </w:tc>
        <w:tc>
          <w:tcPr>
            <w:tcW w:w="959" w:type="dxa"/>
            <w:tcBorders>
              <w:top w:val="nil"/>
              <w:left w:val="nil"/>
              <w:bottom w:val="nil"/>
              <w:right w:val="nil"/>
            </w:tcBorders>
            <w:shd w:val="clear" w:color="auto" w:fill="auto"/>
            <w:noWrap/>
            <w:vAlign w:val="center"/>
            <w:hideMark/>
          </w:tcPr>
          <w:p w14:paraId="1E9FBCED"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1113</w:t>
            </w:r>
          </w:p>
        </w:tc>
        <w:tc>
          <w:tcPr>
            <w:tcW w:w="818" w:type="dxa"/>
            <w:tcBorders>
              <w:top w:val="nil"/>
              <w:left w:val="nil"/>
              <w:bottom w:val="nil"/>
              <w:right w:val="nil"/>
            </w:tcBorders>
            <w:shd w:val="clear" w:color="auto" w:fill="auto"/>
            <w:noWrap/>
            <w:vAlign w:val="center"/>
            <w:hideMark/>
          </w:tcPr>
          <w:p w14:paraId="711F9E9F"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65152163" w14:textId="77777777" w:rsidR="00886F47" w:rsidRPr="00244AAA" w:rsidRDefault="00886F47" w:rsidP="000C7569">
            <w:pPr>
              <w:spacing w:after="0" w:line="240" w:lineRule="auto"/>
              <w:jc w:val="center"/>
              <w:rPr>
                <w:rFonts w:eastAsia="Times New Roman"/>
                <w:color w:val="000000"/>
                <w:sz w:val="20"/>
                <w:szCs w:val="20"/>
                <w:lang w:eastAsia="id-ID"/>
              </w:rPr>
            </w:pPr>
            <w:r w:rsidRPr="00DE0E00">
              <w:rPr>
                <w:rFonts w:eastAsia="Times New Roman"/>
                <w:color w:val="000000"/>
                <w:sz w:val="20"/>
                <w:szCs w:val="20"/>
                <w:lang w:val="id-ID" w:eastAsia="id-ID"/>
              </w:rPr>
              <w:t>14</w:t>
            </w:r>
            <w:r>
              <w:rPr>
                <w:rFonts w:eastAsia="Times New Roman"/>
                <w:color w:val="000000"/>
                <w:sz w:val="20"/>
                <w:szCs w:val="20"/>
                <w:lang w:eastAsia="id-ID"/>
              </w:rPr>
              <w:t>2</w:t>
            </w:r>
          </w:p>
        </w:tc>
      </w:tr>
      <w:tr w:rsidR="004435BE" w:rsidRPr="00DE0E00" w14:paraId="794C782F" w14:textId="77777777" w:rsidTr="00E056E6">
        <w:trPr>
          <w:trHeight w:val="449"/>
        </w:trPr>
        <w:tc>
          <w:tcPr>
            <w:tcW w:w="987" w:type="dxa"/>
            <w:tcBorders>
              <w:top w:val="nil"/>
              <w:left w:val="nil"/>
              <w:bottom w:val="nil"/>
              <w:right w:val="nil"/>
            </w:tcBorders>
            <w:shd w:val="clear" w:color="auto" w:fill="auto"/>
            <w:noWrap/>
            <w:vAlign w:val="center"/>
            <w:hideMark/>
          </w:tcPr>
          <w:p w14:paraId="275E9E8B"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13</w:t>
            </w:r>
          </w:p>
        </w:tc>
        <w:tc>
          <w:tcPr>
            <w:tcW w:w="619" w:type="dxa"/>
            <w:tcBorders>
              <w:top w:val="nil"/>
              <w:left w:val="nil"/>
              <w:bottom w:val="nil"/>
              <w:right w:val="nil"/>
            </w:tcBorders>
            <w:shd w:val="clear" w:color="auto" w:fill="auto"/>
            <w:noWrap/>
            <w:vAlign w:val="center"/>
            <w:hideMark/>
          </w:tcPr>
          <w:p w14:paraId="73F4FCF4"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18992144"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459DF4A9"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7BFD1C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74DEDB8F"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1105</w:t>
            </w:r>
          </w:p>
        </w:tc>
        <w:tc>
          <w:tcPr>
            <w:tcW w:w="742" w:type="dxa"/>
            <w:tcBorders>
              <w:top w:val="nil"/>
              <w:left w:val="nil"/>
              <w:bottom w:val="nil"/>
              <w:right w:val="nil"/>
            </w:tcBorders>
            <w:shd w:val="clear" w:color="auto" w:fill="auto"/>
            <w:noWrap/>
            <w:vAlign w:val="center"/>
            <w:hideMark/>
          </w:tcPr>
          <w:p w14:paraId="249A0638"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575</w:t>
            </w:r>
          </w:p>
        </w:tc>
        <w:tc>
          <w:tcPr>
            <w:tcW w:w="959" w:type="dxa"/>
            <w:tcBorders>
              <w:top w:val="nil"/>
              <w:left w:val="nil"/>
              <w:bottom w:val="nil"/>
              <w:right w:val="nil"/>
            </w:tcBorders>
            <w:shd w:val="clear" w:color="auto" w:fill="auto"/>
            <w:noWrap/>
            <w:vAlign w:val="center"/>
            <w:hideMark/>
          </w:tcPr>
          <w:p w14:paraId="43ED6331"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1150</w:t>
            </w:r>
          </w:p>
        </w:tc>
        <w:tc>
          <w:tcPr>
            <w:tcW w:w="818" w:type="dxa"/>
            <w:tcBorders>
              <w:top w:val="nil"/>
              <w:left w:val="nil"/>
              <w:bottom w:val="nil"/>
              <w:right w:val="nil"/>
            </w:tcBorders>
            <w:shd w:val="clear" w:color="auto" w:fill="auto"/>
            <w:noWrap/>
            <w:vAlign w:val="center"/>
            <w:hideMark/>
          </w:tcPr>
          <w:p w14:paraId="05032845"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652C8DE5" w14:textId="77777777" w:rsidR="00886F47" w:rsidRPr="00244AAA" w:rsidRDefault="00886F47" w:rsidP="000C7569">
            <w:pPr>
              <w:spacing w:after="0" w:line="240" w:lineRule="auto"/>
              <w:jc w:val="center"/>
              <w:rPr>
                <w:rFonts w:eastAsia="Times New Roman"/>
                <w:color w:val="000000"/>
                <w:sz w:val="20"/>
                <w:szCs w:val="20"/>
                <w:lang w:eastAsia="id-ID"/>
              </w:rPr>
            </w:pPr>
            <w:r w:rsidRPr="00DE0E00">
              <w:rPr>
                <w:rFonts w:eastAsia="Times New Roman"/>
                <w:color w:val="000000"/>
                <w:sz w:val="20"/>
                <w:szCs w:val="20"/>
                <w:lang w:val="id-ID" w:eastAsia="id-ID"/>
              </w:rPr>
              <w:t>14</w:t>
            </w:r>
            <w:r>
              <w:rPr>
                <w:rFonts w:eastAsia="Times New Roman"/>
                <w:color w:val="000000"/>
                <w:sz w:val="20"/>
                <w:szCs w:val="20"/>
                <w:lang w:eastAsia="id-ID"/>
              </w:rPr>
              <w:t>2</w:t>
            </w:r>
          </w:p>
        </w:tc>
      </w:tr>
      <w:tr w:rsidR="004435BE" w:rsidRPr="00DE0E00" w14:paraId="62EEDF53" w14:textId="77777777" w:rsidTr="00E056E6">
        <w:trPr>
          <w:trHeight w:val="449"/>
        </w:trPr>
        <w:tc>
          <w:tcPr>
            <w:tcW w:w="987" w:type="dxa"/>
            <w:tcBorders>
              <w:top w:val="nil"/>
              <w:left w:val="nil"/>
              <w:bottom w:val="nil"/>
              <w:right w:val="nil"/>
            </w:tcBorders>
            <w:shd w:val="clear" w:color="auto" w:fill="auto"/>
            <w:noWrap/>
            <w:vAlign w:val="center"/>
            <w:hideMark/>
          </w:tcPr>
          <w:p w14:paraId="05AB95CB"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14</w:t>
            </w:r>
          </w:p>
        </w:tc>
        <w:tc>
          <w:tcPr>
            <w:tcW w:w="619" w:type="dxa"/>
            <w:tcBorders>
              <w:top w:val="nil"/>
              <w:left w:val="nil"/>
              <w:bottom w:val="nil"/>
              <w:right w:val="nil"/>
            </w:tcBorders>
            <w:shd w:val="clear" w:color="auto" w:fill="auto"/>
            <w:noWrap/>
            <w:vAlign w:val="center"/>
            <w:hideMark/>
          </w:tcPr>
          <w:p w14:paraId="229E43D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7074</w:t>
            </w:r>
          </w:p>
        </w:tc>
        <w:tc>
          <w:tcPr>
            <w:tcW w:w="998" w:type="dxa"/>
            <w:tcBorders>
              <w:top w:val="nil"/>
              <w:left w:val="nil"/>
              <w:bottom w:val="nil"/>
              <w:right w:val="nil"/>
            </w:tcBorders>
            <w:shd w:val="clear" w:color="auto" w:fill="auto"/>
            <w:noWrap/>
            <w:vAlign w:val="center"/>
            <w:hideMark/>
          </w:tcPr>
          <w:p w14:paraId="2C9C962C"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4457</w:t>
            </w:r>
          </w:p>
        </w:tc>
        <w:tc>
          <w:tcPr>
            <w:tcW w:w="1053" w:type="dxa"/>
            <w:tcBorders>
              <w:top w:val="nil"/>
              <w:left w:val="nil"/>
              <w:bottom w:val="nil"/>
              <w:right w:val="nil"/>
            </w:tcBorders>
            <w:shd w:val="clear" w:color="auto" w:fill="auto"/>
            <w:noWrap/>
            <w:vAlign w:val="center"/>
            <w:hideMark/>
          </w:tcPr>
          <w:p w14:paraId="0E39E96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10399</w:t>
            </w:r>
          </w:p>
        </w:tc>
        <w:tc>
          <w:tcPr>
            <w:tcW w:w="976" w:type="dxa"/>
            <w:tcBorders>
              <w:top w:val="nil"/>
              <w:left w:val="nil"/>
              <w:bottom w:val="nil"/>
              <w:right w:val="nil"/>
            </w:tcBorders>
            <w:shd w:val="clear" w:color="auto" w:fill="auto"/>
            <w:noWrap/>
            <w:vAlign w:val="center"/>
            <w:hideMark/>
          </w:tcPr>
          <w:p w14:paraId="5EBB0E7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2830</w:t>
            </w:r>
          </w:p>
        </w:tc>
        <w:tc>
          <w:tcPr>
            <w:tcW w:w="708" w:type="dxa"/>
            <w:tcBorders>
              <w:top w:val="nil"/>
              <w:left w:val="nil"/>
              <w:bottom w:val="nil"/>
              <w:right w:val="nil"/>
            </w:tcBorders>
            <w:shd w:val="clear" w:color="auto" w:fill="auto"/>
            <w:noWrap/>
            <w:vAlign w:val="center"/>
            <w:hideMark/>
          </w:tcPr>
          <w:p w14:paraId="49260DF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1056</w:t>
            </w:r>
          </w:p>
        </w:tc>
        <w:tc>
          <w:tcPr>
            <w:tcW w:w="742" w:type="dxa"/>
            <w:tcBorders>
              <w:top w:val="nil"/>
              <w:left w:val="nil"/>
              <w:bottom w:val="nil"/>
              <w:right w:val="nil"/>
            </w:tcBorders>
            <w:shd w:val="clear" w:color="auto" w:fill="auto"/>
            <w:noWrap/>
            <w:vAlign w:val="center"/>
            <w:hideMark/>
          </w:tcPr>
          <w:p w14:paraId="53F1D148"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591</w:t>
            </w:r>
          </w:p>
        </w:tc>
        <w:tc>
          <w:tcPr>
            <w:tcW w:w="959" w:type="dxa"/>
            <w:tcBorders>
              <w:top w:val="nil"/>
              <w:left w:val="nil"/>
              <w:bottom w:val="nil"/>
              <w:right w:val="nil"/>
            </w:tcBorders>
            <w:shd w:val="clear" w:color="auto" w:fill="auto"/>
            <w:noWrap/>
            <w:vAlign w:val="center"/>
            <w:hideMark/>
          </w:tcPr>
          <w:p w14:paraId="7EF6A539"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1183</w:t>
            </w:r>
          </w:p>
        </w:tc>
        <w:tc>
          <w:tcPr>
            <w:tcW w:w="818" w:type="dxa"/>
            <w:tcBorders>
              <w:top w:val="nil"/>
              <w:left w:val="nil"/>
              <w:bottom w:val="nil"/>
              <w:right w:val="nil"/>
            </w:tcBorders>
            <w:shd w:val="clear" w:color="auto" w:fill="auto"/>
            <w:noWrap/>
            <w:vAlign w:val="center"/>
            <w:hideMark/>
          </w:tcPr>
          <w:p w14:paraId="572D7564"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226</w:t>
            </w:r>
          </w:p>
        </w:tc>
        <w:tc>
          <w:tcPr>
            <w:tcW w:w="712" w:type="dxa"/>
            <w:tcBorders>
              <w:top w:val="nil"/>
              <w:left w:val="nil"/>
              <w:bottom w:val="nil"/>
              <w:right w:val="nil"/>
            </w:tcBorders>
            <w:shd w:val="clear" w:color="auto" w:fill="auto"/>
            <w:noWrap/>
            <w:vAlign w:val="bottom"/>
            <w:hideMark/>
          </w:tcPr>
          <w:p w14:paraId="05FD5692"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14</w:t>
            </w:r>
            <w:r>
              <w:rPr>
                <w:rFonts w:eastAsia="Times New Roman"/>
                <w:color w:val="000000"/>
                <w:sz w:val="20"/>
                <w:szCs w:val="20"/>
                <w:lang w:eastAsia="id-ID"/>
              </w:rPr>
              <w:t>2</w:t>
            </w:r>
          </w:p>
        </w:tc>
      </w:tr>
      <w:tr w:rsidR="004435BE" w:rsidRPr="00DE0E00" w14:paraId="1C9AAD61" w14:textId="77777777" w:rsidTr="00E056E6">
        <w:trPr>
          <w:trHeight w:val="449"/>
        </w:trPr>
        <w:tc>
          <w:tcPr>
            <w:tcW w:w="987" w:type="dxa"/>
            <w:tcBorders>
              <w:top w:val="nil"/>
              <w:left w:val="nil"/>
              <w:bottom w:val="single" w:sz="4" w:space="0" w:color="auto"/>
              <w:right w:val="nil"/>
            </w:tcBorders>
            <w:shd w:val="clear" w:color="auto" w:fill="auto"/>
            <w:noWrap/>
            <w:vAlign w:val="center"/>
            <w:hideMark/>
          </w:tcPr>
          <w:p w14:paraId="00FA6D84"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15</w:t>
            </w:r>
          </w:p>
        </w:tc>
        <w:tc>
          <w:tcPr>
            <w:tcW w:w="619" w:type="dxa"/>
            <w:tcBorders>
              <w:top w:val="nil"/>
              <w:left w:val="nil"/>
              <w:bottom w:val="single" w:sz="4" w:space="0" w:color="auto"/>
              <w:right w:val="nil"/>
            </w:tcBorders>
            <w:shd w:val="clear" w:color="auto" w:fill="auto"/>
            <w:noWrap/>
            <w:vAlign w:val="center"/>
            <w:hideMark/>
          </w:tcPr>
          <w:p w14:paraId="224805D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7074</w:t>
            </w:r>
          </w:p>
        </w:tc>
        <w:tc>
          <w:tcPr>
            <w:tcW w:w="998" w:type="dxa"/>
            <w:tcBorders>
              <w:top w:val="nil"/>
              <w:left w:val="nil"/>
              <w:bottom w:val="single" w:sz="4" w:space="0" w:color="auto"/>
              <w:right w:val="nil"/>
            </w:tcBorders>
            <w:shd w:val="clear" w:color="auto" w:fill="auto"/>
            <w:noWrap/>
            <w:vAlign w:val="center"/>
            <w:hideMark/>
          </w:tcPr>
          <w:p w14:paraId="40140ADA"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4457</w:t>
            </w:r>
          </w:p>
        </w:tc>
        <w:tc>
          <w:tcPr>
            <w:tcW w:w="1053" w:type="dxa"/>
            <w:tcBorders>
              <w:top w:val="nil"/>
              <w:left w:val="nil"/>
              <w:bottom w:val="single" w:sz="4" w:space="0" w:color="auto"/>
              <w:right w:val="nil"/>
            </w:tcBorders>
            <w:shd w:val="clear" w:color="auto" w:fill="auto"/>
            <w:noWrap/>
            <w:vAlign w:val="center"/>
            <w:hideMark/>
          </w:tcPr>
          <w:p w14:paraId="5BF13010"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10399</w:t>
            </w:r>
          </w:p>
        </w:tc>
        <w:tc>
          <w:tcPr>
            <w:tcW w:w="976" w:type="dxa"/>
            <w:tcBorders>
              <w:top w:val="nil"/>
              <w:left w:val="nil"/>
              <w:bottom w:val="single" w:sz="4" w:space="0" w:color="auto"/>
              <w:right w:val="nil"/>
            </w:tcBorders>
            <w:shd w:val="clear" w:color="auto" w:fill="auto"/>
            <w:noWrap/>
            <w:vAlign w:val="center"/>
            <w:hideMark/>
          </w:tcPr>
          <w:p w14:paraId="4ECDB652"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2830</w:t>
            </w:r>
          </w:p>
        </w:tc>
        <w:tc>
          <w:tcPr>
            <w:tcW w:w="708" w:type="dxa"/>
            <w:tcBorders>
              <w:top w:val="nil"/>
              <w:left w:val="nil"/>
              <w:bottom w:val="single" w:sz="4" w:space="0" w:color="auto"/>
              <w:right w:val="nil"/>
            </w:tcBorders>
            <w:shd w:val="clear" w:color="auto" w:fill="auto"/>
            <w:noWrap/>
            <w:vAlign w:val="center"/>
            <w:hideMark/>
          </w:tcPr>
          <w:p w14:paraId="44D83FD4"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1011</w:t>
            </w:r>
          </w:p>
        </w:tc>
        <w:tc>
          <w:tcPr>
            <w:tcW w:w="742" w:type="dxa"/>
            <w:tcBorders>
              <w:top w:val="nil"/>
              <w:left w:val="nil"/>
              <w:bottom w:val="single" w:sz="4" w:space="0" w:color="auto"/>
              <w:right w:val="nil"/>
            </w:tcBorders>
            <w:shd w:val="clear" w:color="auto" w:fill="auto"/>
            <w:noWrap/>
            <w:vAlign w:val="center"/>
            <w:hideMark/>
          </w:tcPr>
          <w:p w14:paraId="37159244"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606</w:t>
            </w:r>
          </w:p>
        </w:tc>
        <w:tc>
          <w:tcPr>
            <w:tcW w:w="959" w:type="dxa"/>
            <w:tcBorders>
              <w:top w:val="nil"/>
              <w:left w:val="nil"/>
              <w:bottom w:val="single" w:sz="4" w:space="0" w:color="auto"/>
              <w:right w:val="nil"/>
            </w:tcBorders>
            <w:shd w:val="clear" w:color="auto" w:fill="auto"/>
            <w:noWrap/>
            <w:vAlign w:val="center"/>
            <w:hideMark/>
          </w:tcPr>
          <w:p w14:paraId="519903E8" w14:textId="77777777" w:rsidR="00886F47" w:rsidRPr="00DE0E00" w:rsidRDefault="00886F47" w:rsidP="000C7569">
            <w:pPr>
              <w:spacing w:after="0" w:line="240" w:lineRule="auto"/>
              <w:jc w:val="center"/>
              <w:rPr>
                <w:rFonts w:ascii="Times New Roman" w:eastAsia="Times New Roman" w:hAnsi="Times New Roman"/>
                <w:color w:val="000000"/>
                <w:sz w:val="20"/>
                <w:szCs w:val="20"/>
                <w:lang w:val="id-ID" w:eastAsia="id-ID"/>
              </w:rPr>
            </w:pPr>
            <w:r w:rsidRPr="00DE0E00">
              <w:rPr>
                <w:rFonts w:ascii="Times New Roman" w:eastAsia="Times New Roman" w:hAnsi="Times New Roman"/>
                <w:color w:val="000000"/>
                <w:sz w:val="20"/>
                <w:szCs w:val="20"/>
                <w:lang w:val="id-ID" w:eastAsia="id-ID"/>
              </w:rPr>
              <w:t>1213</w:t>
            </w:r>
          </w:p>
        </w:tc>
        <w:tc>
          <w:tcPr>
            <w:tcW w:w="818" w:type="dxa"/>
            <w:tcBorders>
              <w:top w:val="nil"/>
              <w:left w:val="nil"/>
              <w:bottom w:val="single" w:sz="4" w:space="0" w:color="auto"/>
              <w:right w:val="nil"/>
            </w:tcBorders>
            <w:shd w:val="clear" w:color="auto" w:fill="auto"/>
            <w:noWrap/>
            <w:vAlign w:val="center"/>
            <w:hideMark/>
          </w:tcPr>
          <w:p w14:paraId="7637C6E0"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226</w:t>
            </w:r>
          </w:p>
        </w:tc>
        <w:tc>
          <w:tcPr>
            <w:tcW w:w="712" w:type="dxa"/>
            <w:tcBorders>
              <w:top w:val="nil"/>
              <w:left w:val="nil"/>
              <w:bottom w:val="single" w:sz="4" w:space="0" w:color="auto"/>
              <w:right w:val="nil"/>
            </w:tcBorders>
            <w:shd w:val="clear" w:color="auto" w:fill="auto"/>
            <w:noWrap/>
            <w:vAlign w:val="bottom"/>
            <w:hideMark/>
          </w:tcPr>
          <w:p w14:paraId="54D57948" w14:textId="77777777" w:rsidR="00886F47" w:rsidRPr="00DE0E00" w:rsidRDefault="00886F47" w:rsidP="000C7569">
            <w:pPr>
              <w:spacing w:after="0" w:line="240" w:lineRule="auto"/>
              <w:jc w:val="center"/>
              <w:rPr>
                <w:rFonts w:eastAsia="Times New Roman"/>
                <w:color w:val="000000"/>
                <w:sz w:val="20"/>
                <w:szCs w:val="20"/>
                <w:lang w:val="id-ID" w:eastAsia="id-ID"/>
              </w:rPr>
            </w:pPr>
            <w:r w:rsidRPr="00DE0E00">
              <w:rPr>
                <w:rFonts w:eastAsia="Times New Roman"/>
                <w:color w:val="000000"/>
                <w:sz w:val="20"/>
                <w:szCs w:val="20"/>
                <w:lang w:val="id-ID" w:eastAsia="id-ID"/>
              </w:rPr>
              <w:t>14</w:t>
            </w:r>
            <w:r>
              <w:rPr>
                <w:rFonts w:eastAsia="Times New Roman"/>
                <w:color w:val="000000"/>
                <w:sz w:val="20"/>
                <w:szCs w:val="20"/>
                <w:lang w:eastAsia="id-ID"/>
              </w:rPr>
              <w:t>2</w:t>
            </w:r>
          </w:p>
        </w:tc>
      </w:tr>
    </w:tbl>
    <w:p w14:paraId="3A3C725A" w14:textId="69CF4B00" w:rsidR="00886F47" w:rsidRPr="00244AAA" w:rsidRDefault="004435BE" w:rsidP="00FD5B14">
      <w:pPr>
        <w:spacing w:before="240" w:after="0" w:line="360" w:lineRule="auto"/>
        <w:ind w:left="450"/>
        <w:jc w:val="both"/>
        <w:rPr>
          <w:rFonts w:ascii="Times New Roman" w:hAnsi="Times New Roman"/>
          <w:sz w:val="24"/>
          <w:szCs w:val="24"/>
        </w:rPr>
      </w:pPr>
      <w:r w:rsidRPr="004435BE">
        <w:rPr>
          <w:rFonts w:ascii="Times New Roman" w:hAnsi="Times New Roman"/>
          <w:b/>
          <w:bCs/>
          <w:sz w:val="24"/>
          <w:szCs w:val="24"/>
          <w:lang w:val="id-ID"/>
        </w:rPr>
        <w:t>Table 4.</w:t>
      </w:r>
      <w:r w:rsidRPr="004435BE">
        <w:rPr>
          <w:rFonts w:ascii="Times New Roman" w:hAnsi="Times New Roman"/>
          <w:sz w:val="24"/>
          <w:szCs w:val="24"/>
          <w:lang w:val="id-ID"/>
        </w:rPr>
        <w:t xml:space="preserve"> Number of SCGC Samples</w:t>
      </w:r>
    </w:p>
    <w:tbl>
      <w:tblPr>
        <w:tblW w:w="7904" w:type="dxa"/>
        <w:jc w:val="center"/>
        <w:tblLook w:val="04A0" w:firstRow="1" w:lastRow="0" w:firstColumn="1" w:lastColumn="0" w:noHBand="0" w:noVBand="1"/>
      </w:tblPr>
      <w:tblGrid>
        <w:gridCol w:w="1136"/>
        <w:gridCol w:w="2194"/>
        <w:gridCol w:w="2422"/>
        <w:gridCol w:w="2152"/>
      </w:tblGrid>
      <w:tr w:rsidR="00886F47" w:rsidRPr="00DE0E00" w14:paraId="059DFDEE" w14:textId="77777777" w:rsidTr="000C7569">
        <w:trPr>
          <w:trHeight w:val="315"/>
          <w:jc w:val="center"/>
        </w:trPr>
        <w:tc>
          <w:tcPr>
            <w:tcW w:w="1136" w:type="dxa"/>
            <w:tcBorders>
              <w:top w:val="single" w:sz="4" w:space="0" w:color="auto"/>
              <w:bottom w:val="single" w:sz="4" w:space="0" w:color="auto"/>
            </w:tcBorders>
            <w:vAlign w:val="center"/>
          </w:tcPr>
          <w:p w14:paraId="3BFBA7CF" w14:textId="2F7CE124" w:rsidR="00886F47" w:rsidRPr="00622B90" w:rsidRDefault="004435BE" w:rsidP="000C7569">
            <w:pPr>
              <w:spacing w:after="0" w:line="24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Molarity</w:t>
            </w:r>
          </w:p>
        </w:tc>
        <w:tc>
          <w:tcPr>
            <w:tcW w:w="2194" w:type="dxa"/>
            <w:tcBorders>
              <w:top w:val="single" w:sz="4" w:space="0" w:color="auto"/>
              <w:bottom w:val="single" w:sz="4" w:space="0" w:color="auto"/>
            </w:tcBorders>
            <w:vAlign w:val="center"/>
          </w:tcPr>
          <w:p w14:paraId="4061841F" w14:textId="3A88EE0A" w:rsidR="00886F47" w:rsidRPr="00DE0E00" w:rsidRDefault="004435BE" w:rsidP="000C7569">
            <w:pPr>
              <w:spacing w:after="0" w:line="240" w:lineRule="auto"/>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eastAsia="id-ID"/>
              </w:rPr>
              <w:t>Test Type</w:t>
            </w:r>
          </w:p>
        </w:tc>
        <w:tc>
          <w:tcPr>
            <w:tcW w:w="2422" w:type="dxa"/>
            <w:tcBorders>
              <w:top w:val="single" w:sz="4" w:space="0" w:color="auto"/>
              <w:bottom w:val="single" w:sz="4" w:space="0" w:color="auto"/>
            </w:tcBorders>
            <w:shd w:val="clear" w:color="auto" w:fill="auto"/>
            <w:noWrap/>
            <w:vAlign w:val="center"/>
          </w:tcPr>
          <w:p w14:paraId="78165D85" w14:textId="0C470CEC" w:rsidR="00886F47" w:rsidRPr="00622B90" w:rsidRDefault="00FD5B14"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Curing</w:t>
            </w:r>
          </w:p>
        </w:tc>
        <w:tc>
          <w:tcPr>
            <w:tcW w:w="2152" w:type="dxa"/>
            <w:tcBorders>
              <w:top w:val="single" w:sz="4" w:space="0" w:color="auto"/>
              <w:bottom w:val="single" w:sz="4" w:space="0" w:color="auto"/>
            </w:tcBorders>
            <w:vAlign w:val="center"/>
          </w:tcPr>
          <w:p w14:paraId="0D0EA35E" w14:textId="1D5559BC" w:rsidR="00886F47" w:rsidRDefault="004435BE"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Number of SCGC</w:t>
            </w:r>
          </w:p>
        </w:tc>
      </w:tr>
      <w:tr w:rsidR="00886F47" w:rsidRPr="00DE0E00" w14:paraId="7776A092" w14:textId="77777777" w:rsidTr="000C7569">
        <w:trPr>
          <w:trHeight w:val="315"/>
          <w:jc w:val="center"/>
        </w:trPr>
        <w:tc>
          <w:tcPr>
            <w:tcW w:w="1136" w:type="dxa"/>
            <w:tcBorders>
              <w:top w:val="single" w:sz="4" w:space="0" w:color="auto"/>
              <w:left w:val="nil"/>
              <w:bottom w:val="nil"/>
              <w:right w:val="nil"/>
            </w:tcBorders>
            <w:shd w:val="clear" w:color="auto" w:fill="auto"/>
            <w:noWrap/>
            <w:vAlign w:val="center"/>
            <w:hideMark/>
          </w:tcPr>
          <w:p w14:paraId="19235075" w14:textId="77777777" w:rsidR="00886F47" w:rsidRPr="00DE0E00" w:rsidRDefault="00886F47" w:rsidP="000C7569">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11M</w:t>
            </w:r>
          </w:p>
        </w:tc>
        <w:tc>
          <w:tcPr>
            <w:tcW w:w="2194" w:type="dxa"/>
            <w:vMerge w:val="restart"/>
            <w:tcBorders>
              <w:top w:val="single" w:sz="4" w:space="0" w:color="auto"/>
              <w:left w:val="nil"/>
              <w:bottom w:val="single" w:sz="4" w:space="0" w:color="000000"/>
              <w:right w:val="nil"/>
            </w:tcBorders>
            <w:shd w:val="clear" w:color="auto" w:fill="auto"/>
            <w:vAlign w:val="center"/>
            <w:hideMark/>
          </w:tcPr>
          <w:p w14:paraId="7AD2466F" w14:textId="4AC1ADD6" w:rsidR="00886F47" w:rsidRPr="00622B90" w:rsidRDefault="004435BE"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Compressive Strength, Split Tensile Strength</w:t>
            </w:r>
            <w:r w:rsidR="00886F47">
              <w:rPr>
                <w:rFonts w:ascii="Times New Roman" w:eastAsia="Times New Roman" w:hAnsi="Times New Roman"/>
                <w:color w:val="000000"/>
                <w:sz w:val="24"/>
                <w:szCs w:val="24"/>
                <w:lang w:eastAsia="id-ID"/>
              </w:rPr>
              <w:t xml:space="preserve"> </w:t>
            </w:r>
          </w:p>
        </w:tc>
        <w:tc>
          <w:tcPr>
            <w:tcW w:w="2422" w:type="dxa"/>
            <w:vMerge w:val="restart"/>
            <w:tcBorders>
              <w:top w:val="single" w:sz="4" w:space="0" w:color="auto"/>
              <w:left w:val="nil"/>
              <w:right w:val="nil"/>
            </w:tcBorders>
            <w:shd w:val="clear" w:color="auto" w:fill="auto"/>
            <w:noWrap/>
            <w:vAlign w:val="center"/>
            <w:hideMark/>
          </w:tcPr>
          <w:p w14:paraId="6FE4F76C" w14:textId="10490DE7" w:rsidR="00886F47" w:rsidRPr="0069646C" w:rsidRDefault="00FD5B14"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Water-Cured, Air-Cured</w:t>
            </w:r>
          </w:p>
        </w:tc>
        <w:tc>
          <w:tcPr>
            <w:tcW w:w="2152" w:type="dxa"/>
            <w:tcBorders>
              <w:top w:val="single" w:sz="4" w:space="0" w:color="auto"/>
              <w:left w:val="nil"/>
              <w:bottom w:val="nil"/>
              <w:right w:val="nil"/>
            </w:tcBorders>
            <w:vAlign w:val="center"/>
          </w:tcPr>
          <w:p w14:paraId="3DF4E80A" w14:textId="77777777" w:rsidR="00886F47" w:rsidRDefault="00886F47"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2FCFCBA1" w14:textId="77777777" w:rsidTr="000C7569">
        <w:trPr>
          <w:trHeight w:val="315"/>
          <w:jc w:val="center"/>
        </w:trPr>
        <w:tc>
          <w:tcPr>
            <w:tcW w:w="1136" w:type="dxa"/>
            <w:tcBorders>
              <w:top w:val="nil"/>
              <w:left w:val="nil"/>
              <w:bottom w:val="nil"/>
              <w:right w:val="nil"/>
            </w:tcBorders>
            <w:shd w:val="clear" w:color="auto" w:fill="auto"/>
            <w:noWrap/>
            <w:vAlign w:val="center"/>
            <w:hideMark/>
          </w:tcPr>
          <w:p w14:paraId="1CFAF22F" w14:textId="77777777" w:rsidR="00886F47" w:rsidRPr="00DE0E00" w:rsidRDefault="00886F47" w:rsidP="000C7569">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12M</w:t>
            </w:r>
          </w:p>
        </w:tc>
        <w:tc>
          <w:tcPr>
            <w:tcW w:w="2194" w:type="dxa"/>
            <w:vMerge/>
            <w:tcBorders>
              <w:top w:val="nil"/>
              <w:left w:val="nil"/>
              <w:bottom w:val="single" w:sz="4" w:space="0" w:color="000000"/>
              <w:right w:val="nil"/>
            </w:tcBorders>
            <w:vAlign w:val="center"/>
            <w:hideMark/>
          </w:tcPr>
          <w:p w14:paraId="6229B356" w14:textId="77777777" w:rsidR="00886F47" w:rsidRPr="00DE0E00" w:rsidRDefault="00886F47" w:rsidP="000C7569">
            <w:pPr>
              <w:spacing w:after="0" w:line="240" w:lineRule="auto"/>
              <w:rPr>
                <w:rFonts w:ascii="Times New Roman" w:eastAsia="Times New Roman" w:hAnsi="Times New Roman"/>
                <w:color w:val="000000"/>
                <w:sz w:val="24"/>
                <w:szCs w:val="24"/>
                <w:lang w:val="id-ID" w:eastAsia="id-ID"/>
              </w:rPr>
            </w:pPr>
          </w:p>
        </w:tc>
        <w:tc>
          <w:tcPr>
            <w:tcW w:w="2422" w:type="dxa"/>
            <w:vMerge/>
            <w:tcBorders>
              <w:left w:val="nil"/>
              <w:right w:val="nil"/>
            </w:tcBorders>
            <w:shd w:val="clear" w:color="auto" w:fill="auto"/>
            <w:noWrap/>
            <w:vAlign w:val="center"/>
          </w:tcPr>
          <w:p w14:paraId="74D1E845" w14:textId="77777777" w:rsidR="00886F47" w:rsidRPr="0069646C" w:rsidRDefault="00886F47" w:rsidP="000C7569">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33C88CD6" w14:textId="77777777" w:rsidR="00886F47" w:rsidRDefault="00886F47"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792142E4" w14:textId="77777777" w:rsidTr="000C7569">
        <w:trPr>
          <w:trHeight w:val="315"/>
          <w:jc w:val="center"/>
        </w:trPr>
        <w:tc>
          <w:tcPr>
            <w:tcW w:w="1136" w:type="dxa"/>
            <w:tcBorders>
              <w:top w:val="nil"/>
              <w:left w:val="nil"/>
              <w:bottom w:val="nil"/>
              <w:right w:val="nil"/>
            </w:tcBorders>
            <w:shd w:val="clear" w:color="auto" w:fill="auto"/>
            <w:noWrap/>
            <w:vAlign w:val="center"/>
            <w:hideMark/>
          </w:tcPr>
          <w:p w14:paraId="51C3A9D1" w14:textId="77777777" w:rsidR="00886F47" w:rsidRPr="00DE0E00" w:rsidRDefault="00886F47" w:rsidP="000C7569">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13M</w:t>
            </w:r>
          </w:p>
        </w:tc>
        <w:tc>
          <w:tcPr>
            <w:tcW w:w="2194" w:type="dxa"/>
            <w:vMerge/>
            <w:tcBorders>
              <w:top w:val="nil"/>
              <w:left w:val="nil"/>
              <w:bottom w:val="single" w:sz="4" w:space="0" w:color="000000"/>
              <w:right w:val="nil"/>
            </w:tcBorders>
            <w:vAlign w:val="center"/>
            <w:hideMark/>
          </w:tcPr>
          <w:p w14:paraId="5A5697F5" w14:textId="77777777" w:rsidR="00886F47" w:rsidRPr="00DE0E00" w:rsidRDefault="00886F47" w:rsidP="000C7569">
            <w:pPr>
              <w:spacing w:after="0" w:line="240" w:lineRule="auto"/>
              <w:rPr>
                <w:rFonts w:ascii="Times New Roman" w:eastAsia="Times New Roman" w:hAnsi="Times New Roman"/>
                <w:color w:val="000000"/>
                <w:sz w:val="24"/>
                <w:szCs w:val="24"/>
                <w:lang w:val="id-ID" w:eastAsia="id-ID"/>
              </w:rPr>
            </w:pPr>
          </w:p>
        </w:tc>
        <w:tc>
          <w:tcPr>
            <w:tcW w:w="2422" w:type="dxa"/>
            <w:vMerge/>
            <w:tcBorders>
              <w:left w:val="nil"/>
              <w:right w:val="nil"/>
            </w:tcBorders>
            <w:shd w:val="clear" w:color="auto" w:fill="auto"/>
            <w:noWrap/>
            <w:vAlign w:val="center"/>
          </w:tcPr>
          <w:p w14:paraId="47107476" w14:textId="77777777" w:rsidR="00886F47" w:rsidRPr="0069646C" w:rsidRDefault="00886F47" w:rsidP="000C7569">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5D50A044" w14:textId="77777777" w:rsidR="00886F47" w:rsidRDefault="00886F47"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7EE7AC7B" w14:textId="77777777" w:rsidTr="000C7569">
        <w:trPr>
          <w:trHeight w:val="315"/>
          <w:jc w:val="center"/>
        </w:trPr>
        <w:tc>
          <w:tcPr>
            <w:tcW w:w="1136" w:type="dxa"/>
            <w:tcBorders>
              <w:top w:val="nil"/>
              <w:left w:val="nil"/>
              <w:bottom w:val="nil"/>
              <w:right w:val="nil"/>
            </w:tcBorders>
            <w:shd w:val="clear" w:color="auto" w:fill="auto"/>
            <w:noWrap/>
            <w:vAlign w:val="center"/>
            <w:hideMark/>
          </w:tcPr>
          <w:p w14:paraId="0C101E24" w14:textId="77777777" w:rsidR="00886F47" w:rsidRPr="00DE0E00" w:rsidRDefault="00886F47" w:rsidP="000C7569">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14M</w:t>
            </w:r>
          </w:p>
        </w:tc>
        <w:tc>
          <w:tcPr>
            <w:tcW w:w="2194" w:type="dxa"/>
            <w:vMerge/>
            <w:tcBorders>
              <w:top w:val="nil"/>
              <w:left w:val="nil"/>
              <w:bottom w:val="single" w:sz="4" w:space="0" w:color="000000"/>
              <w:right w:val="nil"/>
            </w:tcBorders>
            <w:vAlign w:val="center"/>
            <w:hideMark/>
          </w:tcPr>
          <w:p w14:paraId="6161018D" w14:textId="77777777" w:rsidR="00886F47" w:rsidRPr="00DE0E00" w:rsidRDefault="00886F47" w:rsidP="000C7569">
            <w:pPr>
              <w:spacing w:after="0" w:line="240" w:lineRule="auto"/>
              <w:rPr>
                <w:rFonts w:ascii="Times New Roman" w:eastAsia="Times New Roman" w:hAnsi="Times New Roman"/>
                <w:color w:val="000000"/>
                <w:sz w:val="24"/>
                <w:szCs w:val="24"/>
                <w:lang w:val="id-ID" w:eastAsia="id-ID"/>
              </w:rPr>
            </w:pPr>
          </w:p>
        </w:tc>
        <w:tc>
          <w:tcPr>
            <w:tcW w:w="2422" w:type="dxa"/>
            <w:vMerge/>
            <w:tcBorders>
              <w:left w:val="nil"/>
              <w:right w:val="nil"/>
            </w:tcBorders>
            <w:shd w:val="clear" w:color="auto" w:fill="auto"/>
            <w:noWrap/>
            <w:vAlign w:val="center"/>
          </w:tcPr>
          <w:p w14:paraId="61855A15" w14:textId="77777777" w:rsidR="00886F47" w:rsidRPr="0069646C" w:rsidRDefault="00886F47" w:rsidP="000C7569">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nil"/>
              <w:right w:val="nil"/>
            </w:tcBorders>
            <w:vAlign w:val="center"/>
          </w:tcPr>
          <w:p w14:paraId="53DDCBFE" w14:textId="77777777" w:rsidR="00886F47" w:rsidRDefault="00886F47"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r w:rsidR="00886F47" w:rsidRPr="00DE0E00" w14:paraId="0600E3D9" w14:textId="77777777" w:rsidTr="000C7569">
        <w:trPr>
          <w:trHeight w:val="315"/>
          <w:jc w:val="center"/>
        </w:trPr>
        <w:tc>
          <w:tcPr>
            <w:tcW w:w="1136" w:type="dxa"/>
            <w:tcBorders>
              <w:top w:val="nil"/>
              <w:left w:val="nil"/>
              <w:bottom w:val="single" w:sz="4" w:space="0" w:color="auto"/>
              <w:right w:val="nil"/>
            </w:tcBorders>
            <w:shd w:val="clear" w:color="auto" w:fill="auto"/>
            <w:noWrap/>
            <w:vAlign w:val="center"/>
            <w:hideMark/>
          </w:tcPr>
          <w:p w14:paraId="18D0E964" w14:textId="77777777" w:rsidR="00886F47" w:rsidRPr="00DE0E00" w:rsidRDefault="00886F47" w:rsidP="000C7569">
            <w:pPr>
              <w:spacing w:after="0" w:line="240" w:lineRule="auto"/>
              <w:jc w:val="center"/>
              <w:rPr>
                <w:rFonts w:ascii="Times New Roman" w:eastAsia="Times New Roman" w:hAnsi="Times New Roman"/>
                <w:color w:val="000000"/>
                <w:sz w:val="24"/>
                <w:szCs w:val="24"/>
                <w:lang w:val="id-ID" w:eastAsia="id-ID"/>
              </w:rPr>
            </w:pPr>
            <w:r w:rsidRPr="00DE0E00">
              <w:rPr>
                <w:rFonts w:ascii="Times New Roman" w:eastAsia="Times New Roman" w:hAnsi="Times New Roman"/>
                <w:color w:val="000000"/>
                <w:sz w:val="24"/>
                <w:szCs w:val="24"/>
                <w:lang w:val="id-ID" w:eastAsia="id-ID"/>
              </w:rPr>
              <w:t>15M</w:t>
            </w:r>
          </w:p>
        </w:tc>
        <w:tc>
          <w:tcPr>
            <w:tcW w:w="2194" w:type="dxa"/>
            <w:vMerge/>
            <w:tcBorders>
              <w:top w:val="nil"/>
              <w:left w:val="nil"/>
              <w:bottom w:val="single" w:sz="4" w:space="0" w:color="000000"/>
              <w:right w:val="nil"/>
            </w:tcBorders>
            <w:vAlign w:val="center"/>
            <w:hideMark/>
          </w:tcPr>
          <w:p w14:paraId="21965ACD" w14:textId="77777777" w:rsidR="00886F47" w:rsidRPr="00DE0E00" w:rsidRDefault="00886F47" w:rsidP="000C7569">
            <w:pPr>
              <w:spacing w:after="0" w:line="240" w:lineRule="auto"/>
              <w:rPr>
                <w:rFonts w:ascii="Times New Roman" w:eastAsia="Times New Roman" w:hAnsi="Times New Roman"/>
                <w:color w:val="000000"/>
                <w:sz w:val="24"/>
                <w:szCs w:val="24"/>
                <w:lang w:val="id-ID" w:eastAsia="id-ID"/>
              </w:rPr>
            </w:pPr>
          </w:p>
        </w:tc>
        <w:tc>
          <w:tcPr>
            <w:tcW w:w="2422" w:type="dxa"/>
            <w:vMerge/>
            <w:tcBorders>
              <w:left w:val="nil"/>
              <w:bottom w:val="single" w:sz="4" w:space="0" w:color="auto"/>
              <w:right w:val="nil"/>
            </w:tcBorders>
            <w:shd w:val="clear" w:color="auto" w:fill="auto"/>
            <w:noWrap/>
            <w:vAlign w:val="center"/>
          </w:tcPr>
          <w:p w14:paraId="20262A2A" w14:textId="77777777" w:rsidR="00886F47" w:rsidRPr="0069646C" w:rsidRDefault="00886F47" w:rsidP="000C7569">
            <w:pPr>
              <w:spacing w:after="0" w:line="240" w:lineRule="auto"/>
              <w:jc w:val="center"/>
              <w:rPr>
                <w:rFonts w:ascii="Times New Roman" w:eastAsia="Times New Roman" w:hAnsi="Times New Roman"/>
                <w:color w:val="000000"/>
                <w:sz w:val="24"/>
                <w:szCs w:val="24"/>
                <w:lang w:eastAsia="id-ID"/>
              </w:rPr>
            </w:pPr>
          </w:p>
        </w:tc>
        <w:tc>
          <w:tcPr>
            <w:tcW w:w="2152" w:type="dxa"/>
            <w:tcBorders>
              <w:top w:val="nil"/>
              <w:left w:val="nil"/>
              <w:bottom w:val="single" w:sz="4" w:space="0" w:color="auto"/>
              <w:right w:val="nil"/>
            </w:tcBorders>
            <w:vAlign w:val="center"/>
          </w:tcPr>
          <w:p w14:paraId="732C4FDE" w14:textId="77777777" w:rsidR="00886F47" w:rsidRDefault="00886F47" w:rsidP="000C7569">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r>
    </w:tbl>
    <w:p w14:paraId="6B31BA65" w14:textId="77777777" w:rsidR="00886F47" w:rsidRPr="00D568E2" w:rsidRDefault="00886F47" w:rsidP="00886F47">
      <w:pPr>
        <w:spacing w:after="0" w:line="280" w:lineRule="auto"/>
        <w:jc w:val="both"/>
        <w:rPr>
          <w:rFonts w:ascii="Times New Roman" w:hAnsi="Times New Roman"/>
          <w:sz w:val="24"/>
          <w:szCs w:val="28"/>
        </w:rPr>
      </w:pPr>
    </w:p>
    <w:p w14:paraId="4395FB7F" w14:textId="253D9701" w:rsidR="00DB144E" w:rsidRPr="00023E8E" w:rsidRDefault="00C607CA" w:rsidP="0026757D">
      <w:pPr>
        <w:pStyle w:val="ListParagraph"/>
        <w:numPr>
          <w:ilvl w:val="0"/>
          <w:numId w:val="38"/>
        </w:numPr>
        <w:spacing w:before="120" w:after="0" w:line="360" w:lineRule="auto"/>
        <w:ind w:left="720" w:hanging="446"/>
        <w:contextualSpacing w:val="0"/>
        <w:jc w:val="both"/>
        <w:rPr>
          <w:rFonts w:ascii="Times New Roman" w:hAnsi="Times New Roman"/>
          <w:b/>
          <w:sz w:val="24"/>
          <w:szCs w:val="24"/>
        </w:rPr>
      </w:pPr>
      <w:r>
        <w:rPr>
          <w:rFonts w:ascii="Times New Roman" w:hAnsi="Times New Roman"/>
          <w:b/>
          <w:sz w:val="24"/>
          <w:szCs w:val="24"/>
        </w:rPr>
        <w:t>Testing of Concrete</w:t>
      </w:r>
    </w:p>
    <w:p w14:paraId="3D4B839A" w14:textId="10428D55" w:rsidR="00684CCC" w:rsidRDefault="00684CCC" w:rsidP="0026757D">
      <w:pPr>
        <w:spacing w:line="360" w:lineRule="auto"/>
        <w:ind w:left="270" w:firstLine="810"/>
        <w:jc w:val="both"/>
        <w:rPr>
          <w:rFonts w:ascii="Times New Roman" w:hAnsi="Times New Roman"/>
          <w:sz w:val="24"/>
          <w:szCs w:val="24"/>
        </w:rPr>
      </w:pPr>
      <w:r w:rsidRPr="00684CCC">
        <w:rPr>
          <w:rFonts w:ascii="Times New Roman" w:hAnsi="Times New Roman"/>
          <w:sz w:val="24"/>
          <w:szCs w:val="24"/>
        </w:rPr>
        <w:t xml:space="preserve">Compressive strength (ASTM-C39)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{"citationItems":[{"id":"ITEM-1","itemData":{"author":[{"dropping-particle":"","family":"ASTM C39/C39M − 12a","given":"","non-dropping-particle":"","parse-names":false,"suffix":""}],"id":"ITEM-1","issued":{"date-parts":[["2012"]]},"title":"Standard Test Method for Compressive Strength of Cylindrical Concrete Specimens","type":"legislation"},"uris":["http://www.mendeley.com/documents/?uuid=37a34417-c9ee-45f8-932b-effc2511786d"]}],"mendeley":{"formattedCitation":"[14]","plainTextFormattedCitation":"[14]","previouslyFormattedCitation":"[14]"},"properties":{"noteIndex":0},"schema":"https://github.com/citation-style-language/schema/raw/master/csl-citation.json"}</w:instrText>
      </w:r>
      <w:r>
        <w:rPr>
          <w:rFonts w:ascii="Times New Roman" w:hAnsi="Times New Roman"/>
          <w:sz w:val="24"/>
          <w:szCs w:val="24"/>
        </w:rPr>
        <w:fldChar w:fldCharType="separate"/>
      </w:r>
      <w:r w:rsidRPr="00A676CE">
        <w:rPr>
          <w:rFonts w:ascii="Times New Roman" w:hAnsi="Times New Roman"/>
          <w:noProof/>
          <w:sz w:val="24"/>
          <w:szCs w:val="24"/>
        </w:rPr>
        <w:t>[14]</w:t>
      </w:r>
      <w:r>
        <w:rPr>
          <w:rFonts w:ascii="Times New Roman" w:hAnsi="Times New Roman"/>
          <w:sz w:val="24"/>
          <w:szCs w:val="24"/>
        </w:rPr>
        <w:fldChar w:fldCharType="end"/>
      </w:r>
      <w:r>
        <w:rPr>
          <w:rFonts w:ascii="Times New Roman" w:hAnsi="Times New Roman"/>
          <w:sz w:val="24"/>
          <w:szCs w:val="24"/>
        </w:rPr>
        <w:t xml:space="preserve"> </w:t>
      </w:r>
      <w:r w:rsidRPr="00684CCC">
        <w:rPr>
          <w:rFonts w:ascii="Times New Roman" w:hAnsi="Times New Roman"/>
          <w:sz w:val="24"/>
          <w:szCs w:val="24"/>
        </w:rPr>
        <w:t>and split tensile strength (ASTM-C496/C496M)</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{"citationItems":[{"id":"ITEM-1","itemData":{"author":[{"dropping-particle":"","family":"ASTM C496/C496M-11","given":"","non-dropping-particle":"","parse-names":false,"suffix":""}],"id":"ITEM-1","issued":{"date-parts":[["2011"]]},"title":"Standard Test Method for Splitting Tensile Strength of Cylindrical Concrete Specimen","type":"legislation"},"uris":["http://www.mendeley.com/documents/?uuid=bfb5f620-4787-4c3e-8860-8f14544f6147"]}],"mendeley":{"formattedCitation":"[15]","plainTextFormattedCitation":"[15]"},"properties":{"noteIndex":0},"schema":"https://github.com/citation-style-language/schema/raw/master/csl-citation.json"}</w:instrText>
      </w:r>
      <w:r>
        <w:rPr>
          <w:rFonts w:ascii="Times New Roman" w:hAnsi="Times New Roman"/>
          <w:sz w:val="24"/>
          <w:szCs w:val="24"/>
        </w:rPr>
        <w:fldChar w:fldCharType="separate"/>
      </w:r>
      <w:r w:rsidRPr="00A676CE">
        <w:rPr>
          <w:rFonts w:ascii="Times New Roman" w:hAnsi="Times New Roman"/>
          <w:noProof/>
          <w:sz w:val="24"/>
          <w:szCs w:val="24"/>
        </w:rPr>
        <w:t>[15]</w:t>
      </w:r>
      <w:r>
        <w:rPr>
          <w:rFonts w:ascii="Times New Roman" w:hAnsi="Times New Roman"/>
          <w:sz w:val="24"/>
          <w:szCs w:val="24"/>
        </w:rPr>
        <w:fldChar w:fldCharType="end"/>
      </w:r>
      <w:r w:rsidRPr="00684CCC">
        <w:rPr>
          <w:rFonts w:ascii="Times New Roman" w:hAnsi="Times New Roman"/>
          <w:sz w:val="24"/>
          <w:szCs w:val="24"/>
        </w:rPr>
        <w:t xml:space="preserve"> tests have been performed. Mechanical characteristics were determined at 28 days of age (compressive strength and split tensile strength).</w:t>
      </w:r>
    </w:p>
    <w:p w14:paraId="3438BDEE" w14:textId="1AA8254F" w:rsidR="0026757D" w:rsidRPr="0026757D" w:rsidRDefault="00684CCC" w:rsidP="0026757D">
      <w:pPr>
        <w:pStyle w:val="ListParagraph"/>
        <w:numPr>
          <w:ilvl w:val="0"/>
          <w:numId w:val="38"/>
        </w:numPr>
        <w:spacing w:before="120" w:after="0" w:line="360" w:lineRule="auto"/>
        <w:ind w:left="720" w:hanging="446"/>
        <w:contextualSpacing w:val="0"/>
        <w:jc w:val="both"/>
        <w:rPr>
          <w:rFonts w:ascii="Times New Roman" w:hAnsi="Times New Roman"/>
          <w:b/>
          <w:sz w:val="24"/>
          <w:szCs w:val="24"/>
        </w:rPr>
      </w:pPr>
      <w:r>
        <w:rPr>
          <w:rFonts w:ascii="Times New Roman" w:hAnsi="Times New Roman"/>
          <w:b/>
          <w:sz w:val="24"/>
          <w:szCs w:val="24"/>
        </w:rPr>
        <w:t>Data Analysis</w:t>
      </w:r>
    </w:p>
    <w:p w14:paraId="323FF834" w14:textId="616D9C58" w:rsidR="0026757D" w:rsidRDefault="00684CCC" w:rsidP="0026757D">
      <w:pPr>
        <w:pStyle w:val="ListParagraph"/>
        <w:spacing w:before="120" w:after="0" w:line="360" w:lineRule="auto"/>
        <w:ind w:left="270" w:firstLine="720"/>
        <w:contextualSpacing w:val="0"/>
        <w:jc w:val="both"/>
        <w:rPr>
          <w:rFonts w:ascii="Times New Roman" w:hAnsi="Times New Roman"/>
          <w:sz w:val="24"/>
          <w:szCs w:val="24"/>
        </w:rPr>
      </w:pPr>
      <w:r w:rsidRPr="00684CCC">
        <w:rPr>
          <w:rFonts w:ascii="Times New Roman" w:hAnsi="Times New Roman"/>
          <w:sz w:val="24"/>
          <w:szCs w:val="24"/>
        </w:rPr>
        <w:t>The test data collection was completed and the compressive strength and split tensile strength of SCGC concrete were computed. Compressive and split tensile strengths are calculated using Equations 1 and 2. The slump flow characteristics, compressive strength, and split tensile strength of seawater and air cured SCGC concrete are next analyzed.</w:t>
      </w:r>
      <w:r w:rsidR="0026757D">
        <w:rPr>
          <w:rFonts w:ascii="Times New Roman" w:hAnsi="Times New Roman"/>
          <w:sz w:val="24"/>
          <w:szCs w:val="24"/>
        </w:rPr>
        <w:t xml:space="preserve"> </w:t>
      </w:r>
    </w:p>
    <w:p w14:paraId="660C94CA" w14:textId="5ADAB606" w:rsidR="009675E1" w:rsidRDefault="009675E1" w:rsidP="00FD5B14">
      <w:pPr>
        <w:pStyle w:val="ListParagraph"/>
        <w:spacing w:after="0" w:line="480" w:lineRule="auto"/>
        <w:ind w:left="270" w:firstLine="720"/>
        <w:jc w:val="right"/>
        <w:rPr>
          <w:rFonts w:ascii="Times New Roman" w:hAnsi="Times New Roman"/>
          <w:sz w:val="24"/>
          <w:szCs w:val="24"/>
        </w:rPr>
      </w:pPr>
      <w:r w:rsidRPr="009675E1">
        <w:rPr>
          <w:rFonts w:ascii="Times New Roman" w:hAnsi="Times New Roman"/>
          <w:sz w:val="24"/>
          <w:szCs w:val="24"/>
        </w:rPr>
        <w:t>f ’c = P/A</w:t>
      </w:r>
      <w:r w:rsidR="00A20B46">
        <w:rPr>
          <w:rFonts w:ascii="Times New Roman" w:hAnsi="Times New Roman"/>
          <w:sz w:val="24"/>
          <w:szCs w:val="24"/>
        </w:rPr>
        <w:t xml:space="preserve">  </w:t>
      </w:r>
      <w:r w:rsidRPr="009675E1">
        <w:rPr>
          <w:rFonts w:ascii="Times New Roman" w:hAnsi="Times New Roman"/>
          <w:sz w:val="24"/>
          <w:szCs w:val="24"/>
        </w:rPr>
        <w:t xml:space="preserve">.............................................................................(1) </w:t>
      </w:r>
    </w:p>
    <w:p w14:paraId="4642CF19" w14:textId="15D72707" w:rsidR="00A20B46" w:rsidRPr="00A20B46" w:rsidRDefault="00A20B46" w:rsidP="00A20B46">
      <w:pPr>
        <w:autoSpaceDE w:val="0"/>
        <w:autoSpaceDN w:val="0"/>
        <w:adjustRightInd w:val="0"/>
        <w:spacing w:after="0" w:line="480" w:lineRule="auto"/>
        <w:ind w:left="720" w:firstLine="720"/>
        <w:jc w:val="right"/>
        <w:rPr>
          <w:rFonts w:ascii="Times New Roman" w:hAnsi="Times New Roman"/>
          <w:sz w:val="24"/>
          <w:szCs w:val="24"/>
        </w:rPr>
      </w:pPr>
      <m:oMath>
        <m:r>
          <w:rPr>
            <w:rFonts w:ascii="Cambria Math" w:hAnsi="Cambria Math"/>
            <w:sz w:val="24"/>
            <w:szCs w:val="24"/>
          </w:rPr>
          <m:t xml:space="preserve">T= </m:t>
        </m:r>
        <m:f>
          <m:fPr>
            <m:ctrlPr>
              <w:rPr>
                <w:rFonts w:ascii="Cambria Math" w:hAnsi="Cambria Math"/>
                <w:i/>
                <w:sz w:val="24"/>
                <w:szCs w:val="24"/>
              </w:rPr>
            </m:ctrlPr>
          </m:fPr>
          <m:num>
            <m:r>
              <w:rPr>
                <w:rFonts w:ascii="Cambria Math" w:hAnsi="Cambria Math"/>
                <w:sz w:val="24"/>
                <w:szCs w:val="24"/>
              </w:rPr>
              <m:t>2P</m:t>
            </m:r>
          </m:num>
          <m:den>
            <m:r>
              <w:rPr>
                <w:rFonts w:ascii="Cambria Math" w:hAnsi="Cambria Math"/>
                <w:sz w:val="24"/>
                <w:szCs w:val="24"/>
              </w:rPr>
              <m:t>πLD</m:t>
            </m:r>
          </m:den>
        </m:f>
      </m:oMath>
      <w:r w:rsidRPr="00221762">
        <w:rPr>
          <w:rFonts w:ascii="Times New Roman" w:eastAsiaTheme="minorEastAsia" w:hAnsi="Times New Roman"/>
          <w:sz w:val="24"/>
          <w:szCs w:val="24"/>
          <w:lang w:val="id-ID"/>
        </w:rPr>
        <w:t xml:space="preserve">   .....................................................</w:t>
      </w:r>
      <w:r w:rsidRPr="00221762">
        <w:rPr>
          <w:rFonts w:ascii="Times New Roman" w:eastAsiaTheme="minorEastAsia" w:hAnsi="Times New Roman"/>
          <w:sz w:val="24"/>
          <w:szCs w:val="24"/>
        </w:rPr>
        <w:t>.......</w:t>
      </w:r>
      <w:r w:rsidRPr="00221762">
        <w:rPr>
          <w:rFonts w:ascii="Times New Roman" w:eastAsiaTheme="minorEastAsia" w:hAnsi="Times New Roman"/>
          <w:sz w:val="24"/>
          <w:szCs w:val="24"/>
          <w:lang w:val="id-ID"/>
        </w:rPr>
        <w:t>.................</w:t>
      </w:r>
      <w:r>
        <w:rPr>
          <w:rFonts w:ascii="Times New Roman" w:eastAsiaTheme="minorEastAsia" w:hAnsi="Times New Roman"/>
          <w:sz w:val="24"/>
          <w:szCs w:val="24"/>
        </w:rPr>
        <w:t>(</w:t>
      </w:r>
      <w:r w:rsidRPr="00221762">
        <w:rPr>
          <w:rFonts w:ascii="Times New Roman" w:eastAsiaTheme="minorEastAsia" w:hAnsi="Times New Roman"/>
          <w:sz w:val="24"/>
          <w:szCs w:val="24"/>
          <w:lang w:val="id-ID"/>
        </w:rPr>
        <w:t>2</w:t>
      </w:r>
      <w:r>
        <w:rPr>
          <w:rFonts w:ascii="Times New Roman" w:eastAsiaTheme="minorEastAsia" w:hAnsi="Times New Roman"/>
          <w:sz w:val="24"/>
          <w:szCs w:val="24"/>
        </w:rPr>
        <w:t>)</w:t>
      </w:r>
    </w:p>
    <w:p w14:paraId="286E9383" w14:textId="3D4CDB0C" w:rsidR="00A20B46" w:rsidRPr="00221762" w:rsidRDefault="00684CCC" w:rsidP="00684CCC">
      <w:pPr>
        <w:tabs>
          <w:tab w:val="left" w:pos="7371"/>
        </w:tabs>
        <w:autoSpaceDE w:val="0"/>
        <w:autoSpaceDN w:val="0"/>
        <w:adjustRightInd w:val="0"/>
        <w:spacing w:after="0" w:line="360" w:lineRule="auto"/>
        <w:ind w:left="270"/>
        <w:jc w:val="both"/>
        <w:rPr>
          <w:rFonts w:ascii="Times New Roman" w:hAnsi="Times New Roman"/>
          <w:sz w:val="24"/>
          <w:szCs w:val="24"/>
        </w:rPr>
      </w:pPr>
      <w:r>
        <w:rPr>
          <w:rFonts w:ascii="Times New Roman" w:hAnsi="Times New Roman"/>
          <w:sz w:val="24"/>
          <w:szCs w:val="24"/>
        </w:rPr>
        <w:t>where</w:t>
      </w:r>
      <w:r w:rsidR="009675E1">
        <w:rPr>
          <w:rFonts w:ascii="Times New Roman" w:hAnsi="Times New Roman"/>
          <w:sz w:val="24"/>
          <w:szCs w:val="24"/>
        </w:rPr>
        <w:t xml:space="preserve"> </w:t>
      </w:r>
      <w:r w:rsidR="009675E1" w:rsidRPr="009675E1">
        <w:rPr>
          <w:rFonts w:ascii="Times New Roman" w:hAnsi="Times New Roman"/>
          <w:sz w:val="24"/>
          <w:szCs w:val="24"/>
        </w:rPr>
        <w:t xml:space="preserve">f ’c = </w:t>
      </w:r>
      <w:r>
        <w:rPr>
          <w:rFonts w:ascii="Times New Roman" w:hAnsi="Times New Roman"/>
          <w:sz w:val="24"/>
          <w:szCs w:val="24"/>
        </w:rPr>
        <w:t>Compressive Strength</w:t>
      </w:r>
      <w:r w:rsidR="009675E1" w:rsidRPr="009675E1">
        <w:rPr>
          <w:rFonts w:ascii="Times New Roman" w:hAnsi="Times New Roman"/>
          <w:sz w:val="24"/>
          <w:szCs w:val="24"/>
        </w:rPr>
        <w:t xml:space="preserve"> (</w:t>
      </w:r>
      <w:proofErr w:type="spellStart"/>
      <w:r w:rsidR="009675E1" w:rsidRPr="009675E1">
        <w:rPr>
          <w:rFonts w:ascii="Times New Roman" w:hAnsi="Times New Roman"/>
          <w:sz w:val="24"/>
          <w:szCs w:val="24"/>
        </w:rPr>
        <w:t>MPa</w:t>
      </w:r>
      <w:proofErr w:type="spellEnd"/>
      <w:r w:rsidR="009675E1" w:rsidRPr="009675E1">
        <w:rPr>
          <w:rFonts w:ascii="Times New Roman" w:hAnsi="Times New Roman"/>
          <w:sz w:val="24"/>
          <w:szCs w:val="24"/>
        </w:rPr>
        <w:t>)</w:t>
      </w:r>
      <w:r w:rsidR="009675E1">
        <w:rPr>
          <w:rFonts w:ascii="Times New Roman" w:hAnsi="Times New Roman"/>
          <w:sz w:val="24"/>
          <w:szCs w:val="24"/>
        </w:rPr>
        <w:t xml:space="preserve">, </w:t>
      </w:r>
      <w:r w:rsidR="009675E1" w:rsidRPr="009675E1">
        <w:rPr>
          <w:rFonts w:ascii="Times New Roman" w:hAnsi="Times New Roman"/>
          <w:sz w:val="24"/>
          <w:szCs w:val="24"/>
        </w:rPr>
        <w:t xml:space="preserve">P = </w:t>
      </w:r>
      <w:proofErr w:type="spellStart"/>
      <w:r>
        <w:rPr>
          <w:rFonts w:ascii="Times New Roman" w:hAnsi="Times New Roman"/>
          <w:sz w:val="24"/>
          <w:szCs w:val="24"/>
        </w:rPr>
        <w:t>Ultimated</w:t>
      </w:r>
      <w:proofErr w:type="spellEnd"/>
      <w:r>
        <w:rPr>
          <w:rFonts w:ascii="Times New Roman" w:hAnsi="Times New Roman"/>
          <w:sz w:val="24"/>
          <w:szCs w:val="24"/>
        </w:rPr>
        <w:t xml:space="preserve"> Load </w:t>
      </w:r>
      <w:r w:rsidR="009675E1" w:rsidRPr="009675E1">
        <w:rPr>
          <w:rFonts w:ascii="Times New Roman" w:hAnsi="Times New Roman"/>
          <w:sz w:val="24"/>
          <w:szCs w:val="24"/>
        </w:rPr>
        <w:t xml:space="preserve"> (kg)</w:t>
      </w:r>
      <w:r w:rsidR="009675E1">
        <w:rPr>
          <w:rFonts w:ascii="Times New Roman" w:hAnsi="Times New Roman"/>
          <w:sz w:val="24"/>
          <w:szCs w:val="24"/>
        </w:rPr>
        <w:t xml:space="preserve">, </w:t>
      </w:r>
      <w:r w:rsidR="009675E1" w:rsidRPr="009675E1">
        <w:rPr>
          <w:rFonts w:ascii="Times New Roman" w:hAnsi="Times New Roman"/>
          <w:sz w:val="24"/>
          <w:szCs w:val="24"/>
        </w:rPr>
        <w:t xml:space="preserve">A  = </w:t>
      </w:r>
      <w:r w:rsidRPr="00684CCC">
        <w:rPr>
          <w:rFonts w:ascii="Times New Roman" w:hAnsi="Times New Roman"/>
          <w:sz w:val="24"/>
          <w:szCs w:val="24"/>
        </w:rPr>
        <w:t>area of test section (mm</w:t>
      </w:r>
      <w:r w:rsidRPr="00684CCC">
        <w:rPr>
          <w:rFonts w:ascii="Times New Roman" w:hAnsi="Times New Roman"/>
          <w:sz w:val="24"/>
          <w:szCs w:val="24"/>
          <w:vertAlign w:val="superscript"/>
        </w:rPr>
        <w:t>2</w:t>
      </w:r>
      <w:r>
        <w:rPr>
          <w:rFonts w:ascii="Times New Roman" w:hAnsi="Times New Roman"/>
          <w:sz w:val="24"/>
          <w:szCs w:val="24"/>
        </w:rPr>
        <w:t xml:space="preserve">), </w:t>
      </w:r>
      <w:r w:rsidR="00A20B46" w:rsidRPr="00221762">
        <w:rPr>
          <w:rFonts w:ascii="Times New Roman" w:hAnsi="Times New Roman"/>
          <w:sz w:val="24"/>
          <w:szCs w:val="24"/>
        </w:rPr>
        <w:t>T</w:t>
      </w:r>
      <w:r w:rsidR="00A20B46" w:rsidRPr="00221762">
        <w:rPr>
          <w:rFonts w:ascii="Times New Roman" w:hAnsi="Times New Roman"/>
          <w:i/>
          <w:sz w:val="24"/>
          <w:szCs w:val="24"/>
        </w:rPr>
        <w:t xml:space="preserve"> </w:t>
      </w:r>
      <w:r w:rsidR="00A20B46" w:rsidRPr="00221762">
        <w:rPr>
          <w:rFonts w:ascii="Times New Roman" w:hAnsi="Times New Roman"/>
          <w:sz w:val="24"/>
          <w:szCs w:val="24"/>
        </w:rPr>
        <w:t xml:space="preserve">= </w:t>
      </w:r>
      <w:proofErr w:type="spellStart"/>
      <w:r w:rsidR="00A20B46">
        <w:rPr>
          <w:rFonts w:ascii="Times New Roman" w:hAnsi="Times New Roman"/>
          <w:sz w:val="24"/>
          <w:szCs w:val="24"/>
        </w:rPr>
        <w:t>k</w:t>
      </w:r>
      <w:r w:rsidR="00A20B46" w:rsidRPr="00221762">
        <w:rPr>
          <w:rFonts w:ascii="Times New Roman" w:hAnsi="Times New Roman"/>
          <w:sz w:val="24"/>
          <w:szCs w:val="24"/>
        </w:rPr>
        <w:t>uat</w:t>
      </w:r>
      <w:proofErr w:type="spellEnd"/>
      <w:r w:rsidR="00A20B46" w:rsidRPr="00221762">
        <w:rPr>
          <w:rFonts w:ascii="Times New Roman" w:hAnsi="Times New Roman"/>
          <w:sz w:val="24"/>
          <w:szCs w:val="24"/>
        </w:rPr>
        <w:t xml:space="preserve"> </w:t>
      </w:r>
      <w:proofErr w:type="spellStart"/>
      <w:r w:rsidR="00A20B46" w:rsidRPr="00221762">
        <w:rPr>
          <w:rFonts w:ascii="Times New Roman" w:hAnsi="Times New Roman"/>
          <w:sz w:val="24"/>
          <w:szCs w:val="24"/>
        </w:rPr>
        <w:t>tarik</w:t>
      </w:r>
      <w:proofErr w:type="spellEnd"/>
      <w:r w:rsidR="00A20B46" w:rsidRPr="00221762">
        <w:rPr>
          <w:rFonts w:ascii="Times New Roman" w:hAnsi="Times New Roman"/>
          <w:sz w:val="24"/>
          <w:szCs w:val="24"/>
        </w:rPr>
        <w:t xml:space="preserve"> </w:t>
      </w:r>
      <w:proofErr w:type="spellStart"/>
      <w:r w:rsidR="00A20B46" w:rsidRPr="00221762">
        <w:rPr>
          <w:rFonts w:ascii="Times New Roman" w:hAnsi="Times New Roman"/>
          <w:sz w:val="24"/>
          <w:szCs w:val="24"/>
        </w:rPr>
        <w:t>belah</w:t>
      </w:r>
      <w:proofErr w:type="spellEnd"/>
      <w:r w:rsidR="00A20B46" w:rsidRPr="00221762">
        <w:rPr>
          <w:rFonts w:ascii="Times New Roman" w:hAnsi="Times New Roman"/>
          <w:sz w:val="24"/>
          <w:szCs w:val="24"/>
        </w:rPr>
        <w:t xml:space="preserve"> (</w:t>
      </w:r>
      <w:proofErr w:type="spellStart"/>
      <w:r w:rsidR="009B131C">
        <w:rPr>
          <w:rFonts w:ascii="Times New Roman" w:hAnsi="Times New Roman"/>
          <w:sz w:val="24"/>
          <w:szCs w:val="24"/>
        </w:rPr>
        <w:t>MPa</w:t>
      </w:r>
      <w:proofErr w:type="spellEnd"/>
      <w:r w:rsidR="00A20B46" w:rsidRPr="00221762">
        <w:rPr>
          <w:rFonts w:ascii="Times New Roman" w:hAnsi="Times New Roman"/>
          <w:sz w:val="24"/>
          <w:szCs w:val="24"/>
        </w:rPr>
        <w:t>)</w:t>
      </w:r>
      <w:r w:rsidR="00A20B46">
        <w:rPr>
          <w:rFonts w:ascii="Times New Roman" w:hAnsi="Times New Roman"/>
          <w:sz w:val="24"/>
          <w:szCs w:val="24"/>
        </w:rPr>
        <w:t xml:space="preserve">, </w:t>
      </w:r>
      <w:r w:rsidR="00A20B46" w:rsidRPr="00221762">
        <w:rPr>
          <w:rFonts w:ascii="Times New Roman" w:hAnsi="Times New Roman"/>
          <w:sz w:val="24"/>
          <w:szCs w:val="24"/>
        </w:rPr>
        <w:t xml:space="preserve">L = </w:t>
      </w:r>
      <w:r w:rsidRPr="00684CCC">
        <w:rPr>
          <w:rFonts w:ascii="Times New Roman" w:hAnsi="Times New Roman"/>
          <w:sz w:val="24"/>
          <w:szCs w:val="24"/>
        </w:rPr>
        <w:t>length of test object (mm)</w:t>
      </w:r>
      <w:r w:rsidR="00A20B46">
        <w:rPr>
          <w:rFonts w:ascii="Times New Roman" w:hAnsi="Times New Roman"/>
          <w:sz w:val="24"/>
          <w:szCs w:val="24"/>
        </w:rPr>
        <w:t xml:space="preserve">, </w:t>
      </w:r>
      <w:r w:rsidR="00A20B46" w:rsidRPr="00221762">
        <w:rPr>
          <w:rFonts w:ascii="Times New Roman" w:hAnsi="Times New Roman"/>
          <w:sz w:val="24"/>
          <w:szCs w:val="24"/>
        </w:rPr>
        <w:t xml:space="preserve">D = </w:t>
      </w:r>
      <w:r>
        <w:rPr>
          <w:rFonts w:ascii="Times New Roman" w:hAnsi="Times New Roman"/>
          <w:sz w:val="24"/>
          <w:szCs w:val="24"/>
        </w:rPr>
        <w:t>diameter of sample</w:t>
      </w:r>
      <w:r w:rsidR="00A20B46" w:rsidRPr="00221762">
        <w:rPr>
          <w:rFonts w:ascii="Times New Roman" w:hAnsi="Times New Roman"/>
          <w:sz w:val="24"/>
          <w:szCs w:val="24"/>
        </w:rPr>
        <w:t xml:space="preserve"> (m</w:t>
      </w:r>
      <w:r>
        <w:rPr>
          <w:rFonts w:ascii="Times New Roman" w:hAnsi="Times New Roman"/>
          <w:sz w:val="24"/>
          <w:szCs w:val="24"/>
        </w:rPr>
        <w:t>m</w:t>
      </w:r>
      <w:r w:rsidR="00A20B46" w:rsidRPr="00221762">
        <w:rPr>
          <w:rFonts w:ascii="Times New Roman" w:hAnsi="Times New Roman"/>
          <w:sz w:val="24"/>
          <w:szCs w:val="24"/>
        </w:rPr>
        <w:t>)</w:t>
      </w:r>
      <w:r w:rsidR="00A20B46">
        <w:rPr>
          <w:rFonts w:ascii="Times New Roman" w:hAnsi="Times New Roman"/>
          <w:sz w:val="24"/>
          <w:szCs w:val="24"/>
        </w:rPr>
        <w:t>.</w:t>
      </w:r>
    </w:p>
    <w:p w14:paraId="7911CB65" w14:textId="569B4B47" w:rsidR="00A24CC1" w:rsidRPr="00775257" w:rsidRDefault="0039199C" w:rsidP="00775257">
      <w:pPr>
        <w:pStyle w:val="ListParagraph"/>
        <w:numPr>
          <w:ilvl w:val="0"/>
          <w:numId w:val="42"/>
        </w:numPr>
        <w:spacing w:before="240" w:after="0" w:line="360" w:lineRule="auto"/>
        <w:ind w:left="630"/>
        <w:jc w:val="both"/>
        <w:rPr>
          <w:rFonts w:ascii="Times New Roman" w:hAnsi="Times New Roman"/>
          <w:b/>
          <w:sz w:val="24"/>
          <w:szCs w:val="24"/>
          <w:lang w:val="id-ID"/>
        </w:rPr>
      </w:pPr>
      <w:r>
        <w:rPr>
          <w:rFonts w:ascii="Times New Roman" w:hAnsi="Times New Roman"/>
          <w:b/>
          <w:sz w:val="24"/>
          <w:szCs w:val="24"/>
          <w:lang w:val="id-ID"/>
        </w:rPr>
        <w:lastRenderedPageBreak/>
        <w:t>Results and Discussions</w:t>
      </w:r>
    </w:p>
    <w:p w14:paraId="04850B29" w14:textId="3D127011" w:rsidR="00244AAA" w:rsidRPr="00244AAA" w:rsidRDefault="00713D5E" w:rsidP="0026757D">
      <w:pPr>
        <w:pStyle w:val="ListParagraph"/>
        <w:numPr>
          <w:ilvl w:val="0"/>
          <w:numId w:val="34"/>
        </w:numPr>
        <w:spacing w:before="240" w:line="360" w:lineRule="auto"/>
        <w:ind w:left="450" w:hanging="180"/>
        <w:jc w:val="both"/>
        <w:rPr>
          <w:rFonts w:ascii="Times New Roman" w:hAnsi="Times New Roman"/>
          <w:b/>
          <w:bCs/>
          <w:sz w:val="24"/>
        </w:rPr>
      </w:pPr>
      <w:r>
        <w:rPr>
          <w:rFonts w:ascii="Times New Roman" w:hAnsi="Times New Roman"/>
          <w:b/>
          <w:bCs/>
          <w:sz w:val="24"/>
        </w:rPr>
        <w:t>Characteristic of Aggregate</w:t>
      </w:r>
    </w:p>
    <w:p w14:paraId="03DE5421" w14:textId="399B3175" w:rsidR="00713D5E" w:rsidRDefault="00713D5E" w:rsidP="00FD5B14">
      <w:pPr>
        <w:spacing w:after="0" w:line="360" w:lineRule="auto"/>
        <w:ind w:left="270" w:firstLine="581"/>
        <w:jc w:val="both"/>
        <w:rPr>
          <w:rFonts w:ascii="Times New Roman" w:hAnsi="Times New Roman"/>
          <w:sz w:val="24"/>
        </w:rPr>
      </w:pPr>
      <w:r w:rsidRPr="00713D5E">
        <w:rPr>
          <w:rFonts w:ascii="Times New Roman" w:hAnsi="Times New Roman"/>
          <w:sz w:val="24"/>
        </w:rPr>
        <w:t xml:space="preserve">Aggregate testing for both fine and coarse aggregates was conducted in accordance with SNI standards at </w:t>
      </w:r>
      <w:proofErr w:type="spellStart"/>
      <w:r w:rsidRPr="00713D5E">
        <w:rPr>
          <w:rFonts w:ascii="Times New Roman" w:hAnsi="Times New Roman"/>
          <w:sz w:val="24"/>
        </w:rPr>
        <w:t>Fajar</w:t>
      </w:r>
      <w:proofErr w:type="spellEnd"/>
      <w:r w:rsidRPr="00713D5E">
        <w:rPr>
          <w:rFonts w:ascii="Times New Roman" w:hAnsi="Times New Roman"/>
          <w:sz w:val="24"/>
        </w:rPr>
        <w:t xml:space="preserve"> Makassar University's Civil Engineering Laboratory. The results of testing the aggregate material produced indicate that the properties of fine aggregate and coarse aggregate meet the requirements for self-compacting geopolymer concrete component materials. Table 5 and Table 6 provide the test results for fine and coarse aggregate, respectively.</w:t>
      </w:r>
      <w:r>
        <w:rPr>
          <w:rFonts w:ascii="Times New Roman" w:hAnsi="Times New Roman"/>
          <w:sz w:val="24"/>
        </w:rPr>
        <w:t xml:space="preserve"> </w:t>
      </w:r>
    </w:p>
    <w:p w14:paraId="5BA186F3" w14:textId="19BE27BE" w:rsidR="00FB7CCD" w:rsidRPr="00FB7CCD" w:rsidRDefault="00BB0214" w:rsidP="00836BA2">
      <w:pPr>
        <w:spacing w:before="240" w:after="0" w:line="360" w:lineRule="auto"/>
        <w:ind w:left="450"/>
        <w:jc w:val="both"/>
        <w:rPr>
          <w:rFonts w:ascii="Times New Roman" w:hAnsi="Times New Roman"/>
          <w:sz w:val="24"/>
          <w:lang w:val="id-ID"/>
        </w:rPr>
      </w:pPr>
      <w:r w:rsidRPr="00E056E6">
        <w:rPr>
          <w:rFonts w:ascii="Times New Roman" w:hAnsi="Times New Roman"/>
          <w:b/>
          <w:bCs/>
          <w:sz w:val="24"/>
        </w:rPr>
        <w:t>Table 5</w:t>
      </w:r>
      <w:r>
        <w:rPr>
          <w:rFonts w:ascii="Times New Roman" w:hAnsi="Times New Roman"/>
          <w:sz w:val="24"/>
        </w:rPr>
        <w:t xml:space="preserve">. </w:t>
      </w:r>
      <w:r w:rsidR="00FB7CCD">
        <w:rPr>
          <w:rFonts w:ascii="Times New Roman" w:hAnsi="Times New Roman"/>
          <w:sz w:val="24"/>
          <w:lang w:val="id-ID"/>
        </w:rPr>
        <w:t xml:space="preserve"> </w:t>
      </w:r>
      <w:r>
        <w:rPr>
          <w:rFonts w:ascii="Times New Roman" w:hAnsi="Times New Roman"/>
          <w:sz w:val="24"/>
        </w:rPr>
        <w:t>P</w:t>
      </w:r>
      <w:r w:rsidRPr="00BB0214">
        <w:rPr>
          <w:rFonts w:ascii="Times New Roman" w:hAnsi="Times New Roman"/>
          <w:sz w:val="24"/>
          <w:lang w:val="id-ID"/>
        </w:rPr>
        <w:t xml:space="preserve">roperties </w:t>
      </w:r>
      <w:r>
        <w:rPr>
          <w:rFonts w:ascii="Times New Roman" w:hAnsi="Times New Roman"/>
          <w:sz w:val="24"/>
        </w:rPr>
        <w:t xml:space="preserve">of </w:t>
      </w:r>
      <w:r w:rsidRPr="00BB0214">
        <w:rPr>
          <w:rFonts w:ascii="Times New Roman" w:hAnsi="Times New Roman"/>
          <w:sz w:val="24"/>
          <w:lang w:val="id-ID"/>
        </w:rPr>
        <w:t xml:space="preserve">Fine aggregate </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38"/>
        <w:gridCol w:w="1844"/>
        <w:gridCol w:w="1939"/>
      </w:tblGrid>
      <w:tr w:rsidR="00BB0214" w:rsidRPr="00FD5B14" w14:paraId="484D78A7" w14:textId="77777777" w:rsidTr="00FD5B14">
        <w:trPr>
          <w:trHeight w:val="492"/>
          <w:jc w:val="center"/>
        </w:trPr>
        <w:tc>
          <w:tcPr>
            <w:tcW w:w="851" w:type="dxa"/>
            <w:shd w:val="clear" w:color="auto" w:fill="auto"/>
            <w:noWrap/>
            <w:vAlign w:val="center"/>
            <w:hideMark/>
          </w:tcPr>
          <w:p w14:paraId="19249AF9" w14:textId="77777777" w:rsidR="00BB0214" w:rsidRPr="00FD5B14" w:rsidRDefault="00BB0214"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No</w:t>
            </w:r>
          </w:p>
        </w:tc>
        <w:tc>
          <w:tcPr>
            <w:tcW w:w="2938" w:type="dxa"/>
            <w:shd w:val="clear" w:color="auto" w:fill="auto"/>
            <w:noWrap/>
            <w:vAlign w:val="center"/>
            <w:hideMark/>
          </w:tcPr>
          <w:p w14:paraId="2C59F4E3" w14:textId="1B70753A" w:rsidR="00BB0214" w:rsidRPr="00FD5B14" w:rsidRDefault="00BB0214" w:rsidP="004255D9">
            <w:pPr>
              <w:spacing w:after="0"/>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Test Item</w:t>
            </w:r>
          </w:p>
        </w:tc>
        <w:tc>
          <w:tcPr>
            <w:tcW w:w="1844" w:type="dxa"/>
            <w:shd w:val="clear" w:color="auto" w:fill="auto"/>
            <w:noWrap/>
            <w:vAlign w:val="center"/>
            <w:hideMark/>
          </w:tcPr>
          <w:p w14:paraId="1214654F" w14:textId="0DE31BF8" w:rsidR="00BB0214" w:rsidRPr="00FD5B14" w:rsidRDefault="00BB0214" w:rsidP="00FB7CCD">
            <w:pPr>
              <w:spacing w:after="0"/>
              <w:jc w:val="center"/>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Result</w:t>
            </w:r>
          </w:p>
        </w:tc>
        <w:tc>
          <w:tcPr>
            <w:tcW w:w="1939" w:type="dxa"/>
            <w:shd w:val="clear" w:color="auto" w:fill="auto"/>
            <w:noWrap/>
            <w:vAlign w:val="center"/>
            <w:hideMark/>
          </w:tcPr>
          <w:p w14:paraId="337F4E0F" w14:textId="77777777" w:rsidR="00BB0214" w:rsidRPr="00FD5B14" w:rsidRDefault="00BB0214"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Interval</w:t>
            </w:r>
          </w:p>
        </w:tc>
      </w:tr>
      <w:tr w:rsidR="00622B90" w:rsidRPr="00FD5B14" w14:paraId="3B06BCB7" w14:textId="77777777" w:rsidTr="00FD5B14">
        <w:trPr>
          <w:trHeight w:val="391"/>
          <w:jc w:val="center"/>
        </w:trPr>
        <w:tc>
          <w:tcPr>
            <w:tcW w:w="851" w:type="dxa"/>
            <w:shd w:val="clear" w:color="auto" w:fill="auto"/>
            <w:noWrap/>
            <w:vAlign w:val="center"/>
            <w:hideMark/>
          </w:tcPr>
          <w:p w14:paraId="6B8A746C"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2938" w:type="dxa"/>
            <w:shd w:val="clear" w:color="auto" w:fill="auto"/>
            <w:noWrap/>
            <w:vAlign w:val="center"/>
            <w:hideMark/>
          </w:tcPr>
          <w:p w14:paraId="39A137F0" w14:textId="20BACE53"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Mud Content</w:t>
            </w:r>
          </w:p>
        </w:tc>
        <w:tc>
          <w:tcPr>
            <w:tcW w:w="1844" w:type="dxa"/>
            <w:shd w:val="clear" w:color="auto" w:fill="auto"/>
            <w:noWrap/>
            <w:vAlign w:val="center"/>
            <w:hideMark/>
          </w:tcPr>
          <w:p w14:paraId="78EBD0D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2,60%</w:t>
            </w:r>
          </w:p>
        </w:tc>
        <w:tc>
          <w:tcPr>
            <w:tcW w:w="1939" w:type="dxa"/>
            <w:shd w:val="clear" w:color="auto" w:fill="auto"/>
            <w:noWrap/>
            <w:vAlign w:val="center"/>
            <w:hideMark/>
          </w:tcPr>
          <w:p w14:paraId="09B6F1F1"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0,2% - 5%</w:t>
            </w:r>
          </w:p>
        </w:tc>
      </w:tr>
      <w:tr w:rsidR="00622B90" w:rsidRPr="00FD5B14" w14:paraId="09E53A99" w14:textId="77777777" w:rsidTr="00FD5B14">
        <w:trPr>
          <w:trHeight w:val="238"/>
          <w:jc w:val="center"/>
        </w:trPr>
        <w:tc>
          <w:tcPr>
            <w:tcW w:w="851" w:type="dxa"/>
            <w:shd w:val="clear" w:color="auto" w:fill="auto"/>
            <w:noWrap/>
            <w:vAlign w:val="center"/>
            <w:hideMark/>
          </w:tcPr>
          <w:p w14:paraId="0C828908"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w:t>
            </w:r>
          </w:p>
        </w:tc>
        <w:tc>
          <w:tcPr>
            <w:tcW w:w="2938" w:type="dxa"/>
            <w:shd w:val="clear" w:color="auto" w:fill="auto"/>
            <w:noWrap/>
            <w:vAlign w:val="center"/>
            <w:hideMark/>
          </w:tcPr>
          <w:p w14:paraId="06CFB580" w14:textId="426DE024"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Water Content</w:t>
            </w:r>
          </w:p>
        </w:tc>
        <w:tc>
          <w:tcPr>
            <w:tcW w:w="1844" w:type="dxa"/>
            <w:shd w:val="clear" w:color="auto" w:fill="auto"/>
            <w:noWrap/>
            <w:vAlign w:val="center"/>
            <w:hideMark/>
          </w:tcPr>
          <w:p w14:paraId="6972AED0"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4,71</w:t>
            </w:r>
          </w:p>
        </w:tc>
        <w:tc>
          <w:tcPr>
            <w:tcW w:w="1939" w:type="dxa"/>
            <w:shd w:val="clear" w:color="auto" w:fill="auto"/>
            <w:noWrap/>
            <w:vAlign w:val="center"/>
            <w:hideMark/>
          </w:tcPr>
          <w:p w14:paraId="6FA94E0E"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 - 5%</w:t>
            </w:r>
          </w:p>
        </w:tc>
      </w:tr>
      <w:tr w:rsidR="00622B90" w:rsidRPr="00FD5B14" w14:paraId="3EDA2BE3" w14:textId="77777777" w:rsidTr="00FD5B14">
        <w:trPr>
          <w:trHeight w:val="238"/>
          <w:jc w:val="center"/>
        </w:trPr>
        <w:tc>
          <w:tcPr>
            <w:tcW w:w="851" w:type="dxa"/>
            <w:shd w:val="clear" w:color="auto" w:fill="auto"/>
            <w:noWrap/>
            <w:vAlign w:val="center"/>
            <w:hideMark/>
          </w:tcPr>
          <w:p w14:paraId="3A05BEF9"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w:t>
            </w:r>
          </w:p>
        </w:tc>
        <w:tc>
          <w:tcPr>
            <w:tcW w:w="2938" w:type="dxa"/>
            <w:shd w:val="clear" w:color="auto" w:fill="auto"/>
            <w:noWrap/>
            <w:vAlign w:val="center"/>
            <w:hideMark/>
          </w:tcPr>
          <w:p w14:paraId="097C2390" w14:textId="1283807C" w:rsidR="00622B90" w:rsidRPr="00FD5B14" w:rsidRDefault="00BB0214"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Volume Weight</w:t>
            </w:r>
          </w:p>
        </w:tc>
        <w:tc>
          <w:tcPr>
            <w:tcW w:w="1844" w:type="dxa"/>
            <w:shd w:val="clear" w:color="auto" w:fill="auto"/>
            <w:noWrap/>
            <w:vAlign w:val="center"/>
            <w:hideMark/>
          </w:tcPr>
          <w:p w14:paraId="7A6CFB43"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1939" w:type="dxa"/>
            <w:shd w:val="clear" w:color="auto" w:fill="auto"/>
            <w:noWrap/>
            <w:vAlign w:val="center"/>
            <w:hideMark/>
          </w:tcPr>
          <w:p w14:paraId="41F04322" w14:textId="77777777" w:rsidR="00622B90" w:rsidRPr="00FD5B14" w:rsidRDefault="00622B90" w:rsidP="00FB7CCD">
            <w:pPr>
              <w:spacing w:after="0"/>
              <w:jc w:val="center"/>
              <w:rPr>
                <w:rFonts w:ascii="Times New Roman" w:hAnsi="Times New Roman"/>
                <w:color w:val="000000"/>
                <w:sz w:val="24"/>
                <w:szCs w:val="24"/>
                <w:lang w:val="id-ID" w:eastAsia="id-ID"/>
              </w:rPr>
            </w:pPr>
          </w:p>
        </w:tc>
      </w:tr>
      <w:tr w:rsidR="00622B90" w:rsidRPr="00FD5B14" w14:paraId="54CB19A6" w14:textId="77777777" w:rsidTr="00FD5B14">
        <w:trPr>
          <w:trHeight w:val="238"/>
          <w:jc w:val="center"/>
        </w:trPr>
        <w:tc>
          <w:tcPr>
            <w:tcW w:w="851" w:type="dxa"/>
            <w:vMerge w:val="restart"/>
            <w:shd w:val="clear" w:color="auto" w:fill="auto"/>
            <w:noWrap/>
            <w:vAlign w:val="center"/>
            <w:hideMark/>
          </w:tcPr>
          <w:p w14:paraId="52D27729"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2938" w:type="dxa"/>
            <w:shd w:val="clear" w:color="auto" w:fill="auto"/>
            <w:noWrap/>
            <w:vAlign w:val="center"/>
            <w:hideMark/>
          </w:tcPr>
          <w:p w14:paraId="6F32359C" w14:textId="7AE8F98B" w:rsidR="00622B90" w:rsidRPr="00FD5B14" w:rsidRDefault="00622B90"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 xml:space="preserve">a. </w:t>
            </w:r>
            <w:r w:rsidR="00BB0214" w:rsidRPr="00FD5B14">
              <w:rPr>
                <w:rFonts w:ascii="Times New Roman" w:hAnsi="Times New Roman"/>
                <w:color w:val="000000"/>
                <w:sz w:val="24"/>
                <w:szCs w:val="24"/>
                <w:lang w:eastAsia="id-ID"/>
              </w:rPr>
              <w:t>Lose Condition</w:t>
            </w:r>
          </w:p>
        </w:tc>
        <w:tc>
          <w:tcPr>
            <w:tcW w:w="1844" w:type="dxa"/>
            <w:shd w:val="clear" w:color="auto" w:fill="auto"/>
            <w:noWrap/>
            <w:vAlign w:val="center"/>
            <w:hideMark/>
          </w:tcPr>
          <w:p w14:paraId="743F9A14"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1,44</w:t>
            </w:r>
          </w:p>
        </w:tc>
        <w:tc>
          <w:tcPr>
            <w:tcW w:w="1939" w:type="dxa"/>
            <w:shd w:val="clear" w:color="auto" w:fill="auto"/>
            <w:noWrap/>
            <w:vAlign w:val="center"/>
            <w:hideMark/>
          </w:tcPr>
          <w:p w14:paraId="4706ED9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1,4 - 1,9 kg/liter</w:t>
            </w:r>
          </w:p>
        </w:tc>
      </w:tr>
      <w:tr w:rsidR="00622B90" w:rsidRPr="00FD5B14" w14:paraId="480EE054" w14:textId="77777777" w:rsidTr="00FD5B14">
        <w:trPr>
          <w:trHeight w:val="238"/>
          <w:jc w:val="center"/>
        </w:trPr>
        <w:tc>
          <w:tcPr>
            <w:tcW w:w="851" w:type="dxa"/>
            <w:vMerge/>
            <w:vAlign w:val="center"/>
            <w:hideMark/>
          </w:tcPr>
          <w:p w14:paraId="0EA3D24B" w14:textId="77777777" w:rsidR="00622B90" w:rsidRPr="00FD5B14" w:rsidRDefault="00622B90" w:rsidP="00FB7CCD">
            <w:pPr>
              <w:spacing w:after="0"/>
              <w:rPr>
                <w:rFonts w:ascii="Times New Roman" w:hAnsi="Times New Roman"/>
                <w:color w:val="000000"/>
                <w:sz w:val="24"/>
                <w:szCs w:val="24"/>
                <w:lang w:val="id-ID" w:eastAsia="id-ID"/>
              </w:rPr>
            </w:pPr>
          </w:p>
        </w:tc>
        <w:tc>
          <w:tcPr>
            <w:tcW w:w="2938" w:type="dxa"/>
            <w:shd w:val="clear" w:color="auto" w:fill="auto"/>
            <w:noWrap/>
            <w:vAlign w:val="center"/>
            <w:hideMark/>
          </w:tcPr>
          <w:p w14:paraId="3DC74AAF" w14:textId="284841BF" w:rsidR="00622B90" w:rsidRPr="00FD5B14" w:rsidRDefault="00622B90"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 xml:space="preserve">b. </w:t>
            </w:r>
            <w:r w:rsidR="00BB0214" w:rsidRPr="00FD5B14">
              <w:rPr>
                <w:rFonts w:ascii="Times New Roman" w:hAnsi="Times New Roman"/>
                <w:color w:val="000000"/>
                <w:sz w:val="24"/>
                <w:szCs w:val="24"/>
                <w:lang w:eastAsia="id-ID"/>
              </w:rPr>
              <w:t>Compacted Condition</w:t>
            </w:r>
          </w:p>
        </w:tc>
        <w:tc>
          <w:tcPr>
            <w:tcW w:w="1844" w:type="dxa"/>
            <w:shd w:val="clear" w:color="auto" w:fill="auto"/>
            <w:noWrap/>
            <w:vAlign w:val="center"/>
            <w:hideMark/>
          </w:tcPr>
          <w:p w14:paraId="2188E156"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1,54</w:t>
            </w:r>
          </w:p>
        </w:tc>
        <w:tc>
          <w:tcPr>
            <w:tcW w:w="1939" w:type="dxa"/>
            <w:shd w:val="clear" w:color="auto" w:fill="auto"/>
            <w:noWrap/>
            <w:vAlign w:val="center"/>
            <w:hideMark/>
          </w:tcPr>
          <w:p w14:paraId="1B3957D7"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1,4 - 1,9 kg/liter</w:t>
            </w:r>
          </w:p>
        </w:tc>
      </w:tr>
      <w:tr w:rsidR="00622B90" w:rsidRPr="00FD5B14" w14:paraId="00D7A083" w14:textId="77777777" w:rsidTr="00FD5B14">
        <w:trPr>
          <w:trHeight w:val="238"/>
          <w:jc w:val="center"/>
        </w:trPr>
        <w:tc>
          <w:tcPr>
            <w:tcW w:w="851" w:type="dxa"/>
            <w:shd w:val="clear" w:color="auto" w:fill="auto"/>
            <w:noWrap/>
            <w:vAlign w:val="center"/>
            <w:hideMark/>
          </w:tcPr>
          <w:p w14:paraId="7DC0D958"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w:t>
            </w:r>
          </w:p>
        </w:tc>
        <w:tc>
          <w:tcPr>
            <w:tcW w:w="2938" w:type="dxa"/>
            <w:shd w:val="clear" w:color="auto" w:fill="auto"/>
            <w:noWrap/>
            <w:vAlign w:val="center"/>
            <w:hideMark/>
          </w:tcPr>
          <w:p w14:paraId="6A5F0C36" w14:textId="6067995B" w:rsidR="00622B90"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 xml:space="preserve">Absorption </w:t>
            </w:r>
          </w:p>
        </w:tc>
        <w:tc>
          <w:tcPr>
            <w:tcW w:w="1844" w:type="dxa"/>
            <w:shd w:val="clear" w:color="auto" w:fill="auto"/>
            <w:noWrap/>
            <w:vAlign w:val="center"/>
            <w:hideMark/>
          </w:tcPr>
          <w:p w14:paraId="5B646E93"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1,96</w:t>
            </w:r>
          </w:p>
        </w:tc>
        <w:tc>
          <w:tcPr>
            <w:tcW w:w="1939" w:type="dxa"/>
            <w:shd w:val="clear" w:color="auto" w:fill="auto"/>
            <w:noWrap/>
            <w:vAlign w:val="center"/>
            <w:hideMark/>
          </w:tcPr>
          <w:p w14:paraId="36F2DA04"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0,2 - 2%</w:t>
            </w:r>
          </w:p>
        </w:tc>
      </w:tr>
      <w:tr w:rsidR="00622B90" w:rsidRPr="00FD5B14" w14:paraId="288A520E" w14:textId="77777777" w:rsidTr="00FD5B14">
        <w:trPr>
          <w:trHeight w:val="238"/>
          <w:jc w:val="center"/>
        </w:trPr>
        <w:tc>
          <w:tcPr>
            <w:tcW w:w="851" w:type="dxa"/>
            <w:shd w:val="clear" w:color="auto" w:fill="auto"/>
            <w:noWrap/>
            <w:vAlign w:val="center"/>
            <w:hideMark/>
          </w:tcPr>
          <w:p w14:paraId="6B357750"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w:t>
            </w:r>
          </w:p>
        </w:tc>
        <w:tc>
          <w:tcPr>
            <w:tcW w:w="2938" w:type="dxa"/>
            <w:shd w:val="clear" w:color="auto" w:fill="auto"/>
            <w:noWrap/>
            <w:vAlign w:val="center"/>
            <w:hideMark/>
          </w:tcPr>
          <w:p w14:paraId="7D2F1AF7" w14:textId="43D50A75" w:rsidR="00622B90"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Specific gravity</w:t>
            </w:r>
          </w:p>
        </w:tc>
        <w:tc>
          <w:tcPr>
            <w:tcW w:w="1844" w:type="dxa"/>
            <w:shd w:val="clear" w:color="auto" w:fill="auto"/>
            <w:noWrap/>
            <w:vAlign w:val="center"/>
            <w:hideMark/>
          </w:tcPr>
          <w:p w14:paraId="132A787C"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1939" w:type="dxa"/>
            <w:shd w:val="clear" w:color="auto" w:fill="auto"/>
            <w:noWrap/>
            <w:vAlign w:val="center"/>
            <w:hideMark/>
          </w:tcPr>
          <w:p w14:paraId="5F5CDF2C" w14:textId="77777777" w:rsidR="00622B90" w:rsidRPr="00FD5B14" w:rsidRDefault="00622B90" w:rsidP="00FB7CCD">
            <w:pPr>
              <w:spacing w:after="0"/>
              <w:jc w:val="center"/>
              <w:rPr>
                <w:rFonts w:ascii="Times New Roman" w:hAnsi="Times New Roman"/>
                <w:color w:val="000000"/>
                <w:sz w:val="24"/>
                <w:szCs w:val="24"/>
                <w:lang w:val="id-ID" w:eastAsia="id-ID"/>
              </w:rPr>
            </w:pPr>
          </w:p>
        </w:tc>
      </w:tr>
      <w:tr w:rsidR="00622B90" w:rsidRPr="00FD5B14" w14:paraId="56F2E056" w14:textId="77777777" w:rsidTr="00FD5B14">
        <w:trPr>
          <w:trHeight w:val="238"/>
          <w:jc w:val="center"/>
        </w:trPr>
        <w:tc>
          <w:tcPr>
            <w:tcW w:w="851" w:type="dxa"/>
            <w:vMerge w:val="restart"/>
            <w:shd w:val="clear" w:color="auto" w:fill="auto"/>
            <w:noWrap/>
            <w:vAlign w:val="center"/>
            <w:hideMark/>
          </w:tcPr>
          <w:p w14:paraId="5D7AAA91" w14:textId="77777777" w:rsidR="00622B90" w:rsidRPr="00FD5B14" w:rsidRDefault="00622B90" w:rsidP="00FB7CCD">
            <w:pPr>
              <w:spacing w:after="0"/>
              <w:jc w:val="center"/>
              <w:rPr>
                <w:rFonts w:ascii="Times New Roman" w:hAnsi="Times New Roman"/>
                <w:color w:val="000000"/>
                <w:sz w:val="24"/>
                <w:szCs w:val="24"/>
                <w:lang w:val="id-ID" w:eastAsia="id-ID"/>
              </w:rPr>
            </w:pPr>
          </w:p>
        </w:tc>
        <w:tc>
          <w:tcPr>
            <w:tcW w:w="2938" w:type="dxa"/>
            <w:shd w:val="clear" w:color="auto" w:fill="auto"/>
            <w:noWrap/>
            <w:vAlign w:val="center"/>
            <w:hideMark/>
          </w:tcPr>
          <w:p w14:paraId="45EE6174" w14:textId="38CC91AF" w:rsidR="00622B90" w:rsidRPr="00FD5B14" w:rsidRDefault="00622B90"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a. </w:t>
            </w:r>
            <w:r w:rsidR="00BB0214" w:rsidRPr="00FD5B14">
              <w:rPr>
                <w:rFonts w:ascii="Times New Roman" w:hAnsi="Times New Roman"/>
                <w:color w:val="000000"/>
                <w:sz w:val="24"/>
                <w:szCs w:val="24"/>
                <w:lang w:val="id-ID" w:eastAsia="id-ID"/>
              </w:rPr>
              <w:t>Bulk Specific gravity</w:t>
            </w:r>
          </w:p>
        </w:tc>
        <w:tc>
          <w:tcPr>
            <w:tcW w:w="1844" w:type="dxa"/>
            <w:shd w:val="clear" w:color="auto" w:fill="auto"/>
            <w:noWrap/>
            <w:vAlign w:val="center"/>
            <w:hideMark/>
          </w:tcPr>
          <w:p w14:paraId="651D84BE"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2,61</w:t>
            </w:r>
          </w:p>
        </w:tc>
        <w:tc>
          <w:tcPr>
            <w:tcW w:w="1939" w:type="dxa"/>
            <w:shd w:val="clear" w:color="auto" w:fill="auto"/>
            <w:noWrap/>
            <w:vAlign w:val="center"/>
            <w:hideMark/>
          </w:tcPr>
          <w:p w14:paraId="387A528D"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1,60 - 3,30</w:t>
            </w:r>
          </w:p>
        </w:tc>
      </w:tr>
      <w:tr w:rsidR="00622B90" w:rsidRPr="00FD5B14" w14:paraId="5D2CD5DF" w14:textId="77777777" w:rsidTr="00FD5B14">
        <w:trPr>
          <w:trHeight w:val="238"/>
          <w:jc w:val="center"/>
        </w:trPr>
        <w:tc>
          <w:tcPr>
            <w:tcW w:w="851" w:type="dxa"/>
            <w:vMerge/>
            <w:vAlign w:val="center"/>
            <w:hideMark/>
          </w:tcPr>
          <w:p w14:paraId="3E95258C" w14:textId="77777777" w:rsidR="00622B90" w:rsidRPr="00FD5B14" w:rsidRDefault="00622B90" w:rsidP="00FB7CCD">
            <w:pPr>
              <w:spacing w:after="0"/>
              <w:rPr>
                <w:rFonts w:ascii="Times New Roman" w:hAnsi="Times New Roman"/>
                <w:color w:val="000000"/>
                <w:sz w:val="24"/>
                <w:szCs w:val="24"/>
                <w:lang w:val="id-ID" w:eastAsia="id-ID"/>
              </w:rPr>
            </w:pPr>
          </w:p>
        </w:tc>
        <w:tc>
          <w:tcPr>
            <w:tcW w:w="2938" w:type="dxa"/>
            <w:shd w:val="clear" w:color="auto" w:fill="auto"/>
            <w:noWrap/>
            <w:vAlign w:val="center"/>
            <w:hideMark/>
          </w:tcPr>
          <w:p w14:paraId="7ACE51AF" w14:textId="7310D158" w:rsidR="00622B90" w:rsidRPr="00FD5B14" w:rsidRDefault="00622B90"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00BB0214" w:rsidRPr="00FD5B14">
              <w:rPr>
                <w:rFonts w:ascii="Times New Roman" w:hAnsi="Times New Roman"/>
                <w:color w:val="000000"/>
                <w:sz w:val="24"/>
                <w:szCs w:val="24"/>
                <w:lang w:eastAsia="id-ID"/>
              </w:rPr>
              <w:t>A</w:t>
            </w:r>
            <w:r w:rsidR="00BB0214" w:rsidRPr="00FD5B14">
              <w:rPr>
                <w:rFonts w:ascii="Times New Roman" w:hAnsi="Times New Roman"/>
                <w:color w:val="000000"/>
                <w:sz w:val="24"/>
                <w:szCs w:val="24"/>
                <w:lang w:val="id-ID" w:eastAsia="id-ID"/>
              </w:rPr>
              <w:t>pparent specific gravity</w:t>
            </w:r>
          </w:p>
        </w:tc>
        <w:tc>
          <w:tcPr>
            <w:tcW w:w="1844" w:type="dxa"/>
            <w:shd w:val="clear" w:color="auto" w:fill="auto"/>
            <w:noWrap/>
            <w:vAlign w:val="center"/>
            <w:hideMark/>
          </w:tcPr>
          <w:p w14:paraId="5820A10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2,48</w:t>
            </w:r>
          </w:p>
        </w:tc>
        <w:tc>
          <w:tcPr>
            <w:tcW w:w="1939" w:type="dxa"/>
            <w:shd w:val="clear" w:color="auto" w:fill="auto"/>
            <w:noWrap/>
            <w:vAlign w:val="center"/>
            <w:hideMark/>
          </w:tcPr>
          <w:p w14:paraId="76CD9BEB"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1,60 - 3,31</w:t>
            </w:r>
          </w:p>
        </w:tc>
      </w:tr>
      <w:tr w:rsidR="00BB0214" w:rsidRPr="00FD5B14" w14:paraId="2EA8B0A5" w14:textId="77777777" w:rsidTr="00FD5B14">
        <w:trPr>
          <w:trHeight w:val="238"/>
          <w:jc w:val="center"/>
        </w:trPr>
        <w:tc>
          <w:tcPr>
            <w:tcW w:w="851" w:type="dxa"/>
            <w:vMerge/>
            <w:vAlign w:val="center"/>
          </w:tcPr>
          <w:p w14:paraId="058B080E" w14:textId="77777777" w:rsidR="00BB0214" w:rsidRPr="00FD5B14" w:rsidRDefault="00BB0214" w:rsidP="00FB7CCD">
            <w:pPr>
              <w:spacing w:after="0"/>
              <w:rPr>
                <w:rFonts w:ascii="Times New Roman" w:hAnsi="Times New Roman"/>
                <w:color w:val="000000"/>
                <w:sz w:val="24"/>
                <w:szCs w:val="24"/>
                <w:lang w:val="id-ID" w:eastAsia="id-ID"/>
              </w:rPr>
            </w:pPr>
          </w:p>
        </w:tc>
        <w:tc>
          <w:tcPr>
            <w:tcW w:w="2938" w:type="dxa"/>
            <w:shd w:val="clear" w:color="auto" w:fill="auto"/>
            <w:noWrap/>
            <w:vAlign w:val="center"/>
          </w:tcPr>
          <w:p w14:paraId="41C0C5A5" w14:textId="625E1B61" w:rsidR="00BB0214" w:rsidRPr="00FD5B14" w:rsidRDefault="00BB0214" w:rsidP="00FB7CCD">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c. </w:t>
            </w:r>
            <w:r w:rsidRPr="00FD5B14">
              <w:rPr>
                <w:rFonts w:ascii="Times New Roman" w:hAnsi="Times New Roman"/>
                <w:sz w:val="24"/>
                <w:szCs w:val="24"/>
              </w:rPr>
              <w:t xml:space="preserve">Surface </w:t>
            </w:r>
            <w:r w:rsidRPr="00FD5B14">
              <w:rPr>
                <w:rFonts w:ascii="Times New Roman" w:hAnsi="Times New Roman"/>
                <w:color w:val="000000"/>
                <w:sz w:val="24"/>
                <w:szCs w:val="24"/>
                <w:lang w:val="id-ID" w:eastAsia="id-ID"/>
              </w:rPr>
              <w:t>specific gravity</w:t>
            </w:r>
            <w:r w:rsidRPr="00FD5B14">
              <w:rPr>
                <w:rFonts w:ascii="Times New Roman" w:hAnsi="Times New Roman"/>
                <w:color w:val="000000"/>
                <w:sz w:val="24"/>
                <w:szCs w:val="24"/>
                <w:lang w:eastAsia="id-ID"/>
              </w:rPr>
              <w:t xml:space="preserve"> </w:t>
            </w:r>
          </w:p>
        </w:tc>
        <w:tc>
          <w:tcPr>
            <w:tcW w:w="1844" w:type="dxa"/>
            <w:shd w:val="clear" w:color="auto" w:fill="auto"/>
            <w:noWrap/>
            <w:vAlign w:val="center"/>
          </w:tcPr>
          <w:p w14:paraId="1B6B2C80" w14:textId="4F4D4F4C" w:rsidR="00BB0214" w:rsidRPr="00FD5B14" w:rsidRDefault="00BB0214"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2,53</w:t>
            </w:r>
          </w:p>
        </w:tc>
        <w:tc>
          <w:tcPr>
            <w:tcW w:w="1939" w:type="dxa"/>
            <w:shd w:val="clear" w:color="auto" w:fill="auto"/>
            <w:noWrap/>
            <w:vAlign w:val="center"/>
          </w:tcPr>
          <w:p w14:paraId="7996F101" w14:textId="330856EF" w:rsidR="00BB0214" w:rsidRPr="00FD5B14" w:rsidRDefault="00BB0214"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1,60 - 3,32</w:t>
            </w:r>
          </w:p>
        </w:tc>
      </w:tr>
      <w:tr w:rsidR="00167CE7" w:rsidRPr="00FD5B14" w14:paraId="1B17CB0D" w14:textId="77777777" w:rsidTr="00FD5B14">
        <w:trPr>
          <w:trHeight w:val="492"/>
          <w:jc w:val="center"/>
        </w:trPr>
        <w:tc>
          <w:tcPr>
            <w:tcW w:w="851" w:type="dxa"/>
            <w:shd w:val="clear" w:color="auto" w:fill="auto"/>
            <w:noWrap/>
            <w:vAlign w:val="center"/>
            <w:hideMark/>
          </w:tcPr>
          <w:p w14:paraId="37C8BD0F"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6</w:t>
            </w:r>
          </w:p>
        </w:tc>
        <w:tc>
          <w:tcPr>
            <w:tcW w:w="2938" w:type="dxa"/>
            <w:shd w:val="clear" w:color="auto" w:fill="auto"/>
            <w:noWrap/>
            <w:vAlign w:val="center"/>
            <w:hideMark/>
          </w:tcPr>
          <w:p w14:paraId="2B09B9BF" w14:textId="1DBAD1A5" w:rsidR="00167CE7" w:rsidRPr="00FD5B14" w:rsidRDefault="00167CE7" w:rsidP="00167CE7">
            <w:pPr>
              <w:spacing w:after="0"/>
              <w:rPr>
                <w:rFonts w:ascii="Times New Roman" w:hAnsi="Times New Roman"/>
                <w:color w:val="000000"/>
                <w:sz w:val="24"/>
                <w:szCs w:val="24"/>
                <w:lang w:eastAsia="id-ID"/>
              </w:rPr>
            </w:pPr>
            <w:r w:rsidRPr="00FD5B14">
              <w:rPr>
                <w:rFonts w:ascii="Times New Roman" w:hAnsi="Times New Roman"/>
                <w:color w:val="000000"/>
                <w:sz w:val="24"/>
                <w:szCs w:val="24"/>
                <w:lang w:val="id-ID" w:eastAsia="id-ID"/>
              </w:rPr>
              <w:t>Fineness Modulus</w:t>
            </w:r>
          </w:p>
        </w:tc>
        <w:tc>
          <w:tcPr>
            <w:tcW w:w="1844" w:type="dxa"/>
            <w:shd w:val="clear" w:color="auto" w:fill="auto"/>
            <w:noWrap/>
            <w:vAlign w:val="center"/>
            <w:hideMark/>
          </w:tcPr>
          <w:p w14:paraId="2F27B14D"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3,09</w:t>
            </w:r>
          </w:p>
        </w:tc>
        <w:tc>
          <w:tcPr>
            <w:tcW w:w="1939" w:type="dxa"/>
            <w:shd w:val="clear" w:color="auto" w:fill="auto"/>
            <w:noWrap/>
            <w:vAlign w:val="center"/>
            <w:hideMark/>
          </w:tcPr>
          <w:p w14:paraId="20C99371"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2,5 - 3,8</w:t>
            </w:r>
          </w:p>
        </w:tc>
      </w:tr>
      <w:tr w:rsidR="00622B90" w:rsidRPr="00FD5B14" w14:paraId="7ED895C7" w14:textId="77777777" w:rsidTr="00FD5B14">
        <w:trPr>
          <w:trHeight w:val="238"/>
          <w:jc w:val="center"/>
        </w:trPr>
        <w:tc>
          <w:tcPr>
            <w:tcW w:w="851" w:type="dxa"/>
            <w:shd w:val="clear" w:color="auto" w:fill="auto"/>
            <w:noWrap/>
            <w:vAlign w:val="center"/>
            <w:hideMark/>
          </w:tcPr>
          <w:p w14:paraId="0908D009"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w:t>
            </w:r>
          </w:p>
        </w:tc>
        <w:tc>
          <w:tcPr>
            <w:tcW w:w="2938" w:type="dxa"/>
            <w:shd w:val="clear" w:color="auto" w:fill="auto"/>
            <w:noWrap/>
            <w:vAlign w:val="center"/>
            <w:hideMark/>
          </w:tcPr>
          <w:p w14:paraId="3221A2AA" w14:textId="1F01BE4A" w:rsidR="00622B90" w:rsidRPr="00FD5B14" w:rsidRDefault="00167CE7" w:rsidP="004255D9">
            <w:pPr>
              <w:spacing w:after="0" w:line="360" w:lineRule="auto"/>
              <w:rPr>
                <w:rFonts w:ascii="Times New Roman" w:hAnsi="Times New Roman"/>
                <w:color w:val="000000"/>
                <w:sz w:val="24"/>
                <w:szCs w:val="24"/>
                <w:lang w:eastAsia="id-ID"/>
              </w:rPr>
            </w:pPr>
            <w:r w:rsidRPr="00FD5B14">
              <w:rPr>
                <w:rFonts w:ascii="Times New Roman" w:hAnsi="Times New Roman"/>
                <w:color w:val="000000"/>
                <w:sz w:val="24"/>
                <w:szCs w:val="24"/>
                <w:lang w:eastAsia="id-ID"/>
              </w:rPr>
              <w:t>Organic content</w:t>
            </w:r>
          </w:p>
        </w:tc>
        <w:tc>
          <w:tcPr>
            <w:tcW w:w="1844" w:type="dxa"/>
            <w:shd w:val="clear" w:color="auto" w:fill="auto"/>
            <w:noWrap/>
            <w:vAlign w:val="center"/>
            <w:hideMark/>
          </w:tcPr>
          <w:p w14:paraId="4F6A32D7"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No.2</w:t>
            </w:r>
          </w:p>
        </w:tc>
        <w:tc>
          <w:tcPr>
            <w:tcW w:w="1939" w:type="dxa"/>
            <w:shd w:val="clear" w:color="auto" w:fill="auto"/>
            <w:noWrap/>
            <w:vAlign w:val="center"/>
            <w:hideMark/>
          </w:tcPr>
          <w:p w14:paraId="382D4F34" w14:textId="77777777" w:rsidR="00622B90" w:rsidRPr="00FD5B14" w:rsidRDefault="00622B90" w:rsidP="004255D9">
            <w:pPr>
              <w:spacing w:after="0" w:line="360" w:lineRule="auto"/>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&lt;No.3</w:t>
            </w:r>
          </w:p>
        </w:tc>
      </w:tr>
    </w:tbl>
    <w:p w14:paraId="1912C480" w14:textId="77777777" w:rsidR="00FB7CCD" w:rsidRPr="00FB7CCD" w:rsidRDefault="00FB7CCD" w:rsidP="00D568E2">
      <w:pPr>
        <w:spacing w:after="0" w:line="360" w:lineRule="auto"/>
        <w:ind w:firstLine="851"/>
        <w:jc w:val="both"/>
        <w:rPr>
          <w:rFonts w:ascii="Times New Roman" w:hAnsi="Times New Roman"/>
          <w:sz w:val="24"/>
          <w:szCs w:val="24"/>
          <w:lang w:val="id-ID"/>
        </w:rPr>
      </w:pPr>
    </w:p>
    <w:p w14:paraId="44DB4783" w14:textId="4B5F8F11" w:rsidR="00A24CC1" w:rsidRPr="00FB7CCD" w:rsidRDefault="00FB7CCD" w:rsidP="00FB7CCD">
      <w:pPr>
        <w:spacing w:after="0" w:line="280" w:lineRule="auto"/>
        <w:jc w:val="both"/>
        <w:rPr>
          <w:rFonts w:ascii="Times New Roman" w:hAnsi="Times New Roman"/>
          <w:sz w:val="24"/>
          <w:szCs w:val="24"/>
          <w:lang w:val="id-ID"/>
        </w:rPr>
      </w:pPr>
      <w:r w:rsidRPr="00FB7CCD">
        <w:rPr>
          <w:rFonts w:ascii="Times New Roman" w:hAnsi="Times New Roman"/>
          <w:sz w:val="24"/>
          <w:szCs w:val="24"/>
          <w:lang w:val="id-ID"/>
        </w:rPr>
        <w:t xml:space="preserve">         </w:t>
      </w:r>
      <w:r w:rsidR="00167CE7" w:rsidRPr="00FD5B14">
        <w:rPr>
          <w:rFonts w:ascii="Times New Roman" w:hAnsi="Times New Roman"/>
          <w:b/>
          <w:bCs/>
          <w:sz w:val="24"/>
          <w:szCs w:val="24"/>
        </w:rPr>
        <w:t>Table 6.</w:t>
      </w:r>
      <w:r w:rsidRPr="00FB7CCD">
        <w:rPr>
          <w:rFonts w:ascii="Times New Roman" w:hAnsi="Times New Roman"/>
          <w:sz w:val="24"/>
          <w:szCs w:val="24"/>
          <w:lang w:val="id-ID"/>
        </w:rPr>
        <w:t xml:space="preserve"> </w:t>
      </w:r>
      <w:r w:rsidR="00167CE7">
        <w:rPr>
          <w:rFonts w:ascii="Times New Roman" w:hAnsi="Times New Roman"/>
          <w:sz w:val="24"/>
          <w:szCs w:val="24"/>
        </w:rPr>
        <w:t>Properties of Course Aggregate</w:t>
      </w: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78"/>
        <w:gridCol w:w="1755"/>
        <w:gridCol w:w="1880"/>
      </w:tblGrid>
      <w:tr w:rsidR="00FD5B14" w:rsidRPr="00FD5B14" w14:paraId="12CFEA17" w14:textId="77777777" w:rsidTr="00FD5B14">
        <w:trPr>
          <w:trHeight w:val="318"/>
          <w:jc w:val="center"/>
        </w:trPr>
        <w:tc>
          <w:tcPr>
            <w:tcW w:w="960" w:type="dxa"/>
            <w:shd w:val="clear" w:color="auto" w:fill="auto"/>
            <w:noWrap/>
            <w:vAlign w:val="center"/>
            <w:hideMark/>
          </w:tcPr>
          <w:p w14:paraId="731F03B3"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No</w:t>
            </w:r>
          </w:p>
        </w:tc>
        <w:tc>
          <w:tcPr>
            <w:tcW w:w="3278" w:type="dxa"/>
            <w:shd w:val="clear" w:color="auto" w:fill="auto"/>
            <w:noWrap/>
            <w:vAlign w:val="center"/>
            <w:hideMark/>
          </w:tcPr>
          <w:p w14:paraId="07DDD10F"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Jenis pengujian</w:t>
            </w:r>
          </w:p>
        </w:tc>
        <w:tc>
          <w:tcPr>
            <w:tcW w:w="1755" w:type="dxa"/>
            <w:shd w:val="clear" w:color="auto" w:fill="auto"/>
            <w:noWrap/>
            <w:vAlign w:val="center"/>
            <w:hideMark/>
          </w:tcPr>
          <w:p w14:paraId="63A9D6A2" w14:textId="6EC01E69" w:rsidR="00622B90" w:rsidRPr="00FD5B14" w:rsidRDefault="00167CE7" w:rsidP="00FB7CCD">
            <w:pPr>
              <w:spacing w:after="0"/>
              <w:jc w:val="center"/>
              <w:rPr>
                <w:rFonts w:ascii="Times New Roman" w:hAnsi="Times New Roman"/>
                <w:b/>
                <w:bCs/>
                <w:color w:val="000000"/>
                <w:sz w:val="24"/>
                <w:szCs w:val="24"/>
                <w:lang w:eastAsia="id-ID"/>
              </w:rPr>
            </w:pPr>
            <w:r w:rsidRPr="00FD5B14">
              <w:rPr>
                <w:rFonts w:ascii="Times New Roman" w:hAnsi="Times New Roman"/>
                <w:b/>
                <w:bCs/>
                <w:color w:val="000000"/>
                <w:sz w:val="24"/>
                <w:szCs w:val="24"/>
                <w:lang w:eastAsia="id-ID"/>
              </w:rPr>
              <w:t>Result</w:t>
            </w:r>
          </w:p>
        </w:tc>
        <w:tc>
          <w:tcPr>
            <w:tcW w:w="1880" w:type="dxa"/>
            <w:shd w:val="clear" w:color="auto" w:fill="auto"/>
            <w:noWrap/>
            <w:vAlign w:val="center"/>
            <w:hideMark/>
          </w:tcPr>
          <w:p w14:paraId="059BE8CF" w14:textId="77777777" w:rsidR="00622B90" w:rsidRPr="00FD5B14" w:rsidRDefault="00622B90" w:rsidP="00FB7CCD">
            <w:pPr>
              <w:spacing w:after="0"/>
              <w:jc w:val="center"/>
              <w:rPr>
                <w:rFonts w:ascii="Times New Roman" w:hAnsi="Times New Roman"/>
                <w:b/>
                <w:bCs/>
                <w:color w:val="000000"/>
                <w:sz w:val="24"/>
                <w:szCs w:val="24"/>
                <w:lang w:val="id-ID" w:eastAsia="id-ID"/>
              </w:rPr>
            </w:pPr>
            <w:r w:rsidRPr="00FD5B14">
              <w:rPr>
                <w:rFonts w:ascii="Times New Roman" w:hAnsi="Times New Roman"/>
                <w:b/>
                <w:bCs/>
                <w:color w:val="000000"/>
                <w:sz w:val="24"/>
                <w:szCs w:val="24"/>
                <w:lang w:val="id-ID" w:eastAsia="id-ID"/>
              </w:rPr>
              <w:t>Interval</w:t>
            </w:r>
          </w:p>
        </w:tc>
      </w:tr>
      <w:tr w:rsidR="00FD5B14" w:rsidRPr="00FD5B14" w14:paraId="4A0FC1CF" w14:textId="77777777" w:rsidTr="00FD5B14">
        <w:trPr>
          <w:trHeight w:val="318"/>
          <w:jc w:val="center"/>
        </w:trPr>
        <w:tc>
          <w:tcPr>
            <w:tcW w:w="960" w:type="dxa"/>
            <w:shd w:val="clear" w:color="auto" w:fill="auto"/>
            <w:noWrap/>
            <w:vAlign w:val="center"/>
            <w:hideMark/>
          </w:tcPr>
          <w:p w14:paraId="04C8B0D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3278" w:type="dxa"/>
            <w:shd w:val="clear" w:color="auto" w:fill="auto"/>
            <w:noWrap/>
            <w:vAlign w:val="center"/>
            <w:hideMark/>
          </w:tcPr>
          <w:p w14:paraId="2235A85D" w14:textId="7D5E434A"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Mud Content</w:t>
            </w:r>
          </w:p>
        </w:tc>
        <w:tc>
          <w:tcPr>
            <w:tcW w:w="1755" w:type="dxa"/>
            <w:shd w:val="clear" w:color="auto" w:fill="auto"/>
            <w:noWrap/>
            <w:vAlign w:val="center"/>
            <w:hideMark/>
          </w:tcPr>
          <w:p w14:paraId="7F88B359"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w:t>
            </w:r>
          </w:p>
        </w:tc>
        <w:tc>
          <w:tcPr>
            <w:tcW w:w="1880" w:type="dxa"/>
            <w:shd w:val="clear" w:color="auto" w:fill="auto"/>
            <w:noWrap/>
            <w:vAlign w:val="center"/>
            <w:hideMark/>
          </w:tcPr>
          <w:p w14:paraId="3A556D0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1%</w:t>
            </w:r>
          </w:p>
        </w:tc>
      </w:tr>
      <w:tr w:rsidR="00FD5B14" w:rsidRPr="00FD5B14" w14:paraId="7364FFBB" w14:textId="77777777" w:rsidTr="00FD5B14">
        <w:trPr>
          <w:trHeight w:val="318"/>
          <w:jc w:val="center"/>
        </w:trPr>
        <w:tc>
          <w:tcPr>
            <w:tcW w:w="960" w:type="dxa"/>
            <w:shd w:val="clear" w:color="auto" w:fill="auto"/>
            <w:noWrap/>
            <w:vAlign w:val="center"/>
            <w:hideMark/>
          </w:tcPr>
          <w:p w14:paraId="598AF13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w:t>
            </w:r>
          </w:p>
        </w:tc>
        <w:tc>
          <w:tcPr>
            <w:tcW w:w="3278" w:type="dxa"/>
            <w:shd w:val="clear" w:color="auto" w:fill="auto"/>
            <w:noWrap/>
            <w:vAlign w:val="center"/>
            <w:hideMark/>
          </w:tcPr>
          <w:p w14:paraId="4255EFEE" w14:textId="0B5AA0CE"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Water Content</w:t>
            </w:r>
          </w:p>
        </w:tc>
        <w:tc>
          <w:tcPr>
            <w:tcW w:w="1755" w:type="dxa"/>
            <w:shd w:val="clear" w:color="auto" w:fill="auto"/>
            <w:noWrap/>
            <w:vAlign w:val="center"/>
            <w:hideMark/>
          </w:tcPr>
          <w:p w14:paraId="75E24278"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1,52</w:t>
            </w:r>
          </w:p>
        </w:tc>
        <w:tc>
          <w:tcPr>
            <w:tcW w:w="1880" w:type="dxa"/>
            <w:shd w:val="clear" w:color="auto" w:fill="auto"/>
            <w:noWrap/>
            <w:vAlign w:val="center"/>
            <w:hideMark/>
          </w:tcPr>
          <w:p w14:paraId="041CDA9A"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0,5% - 2%</w:t>
            </w:r>
          </w:p>
        </w:tc>
      </w:tr>
      <w:tr w:rsidR="00FD5B14" w:rsidRPr="00FD5B14" w14:paraId="1678787B" w14:textId="77777777" w:rsidTr="00FD5B14">
        <w:trPr>
          <w:trHeight w:val="318"/>
          <w:jc w:val="center"/>
        </w:trPr>
        <w:tc>
          <w:tcPr>
            <w:tcW w:w="960" w:type="dxa"/>
            <w:shd w:val="clear" w:color="auto" w:fill="auto"/>
            <w:noWrap/>
            <w:vAlign w:val="center"/>
            <w:hideMark/>
          </w:tcPr>
          <w:p w14:paraId="04B3AEFC"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w:t>
            </w:r>
          </w:p>
        </w:tc>
        <w:tc>
          <w:tcPr>
            <w:tcW w:w="3278" w:type="dxa"/>
            <w:shd w:val="clear" w:color="auto" w:fill="auto"/>
            <w:noWrap/>
            <w:vAlign w:val="center"/>
            <w:hideMark/>
          </w:tcPr>
          <w:p w14:paraId="7C4CAB5F" w14:textId="2719739F"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Volume Weight</w:t>
            </w:r>
          </w:p>
        </w:tc>
        <w:tc>
          <w:tcPr>
            <w:tcW w:w="1755" w:type="dxa"/>
            <w:shd w:val="clear" w:color="auto" w:fill="auto"/>
            <w:noWrap/>
            <w:vAlign w:val="center"/>
            <w:hideMark/>
          </w:tcPr>
          <w:p w14:paraId="245753B3"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1880" w:type="dxa"/>
            <w:shd w:val="clear" w:color="auto" w:fill="auto"/>
            <w:noWrap/>
            <w:vAlign w:val="center"/>
            <w:hideMark/>
          </w:tcPr>
          <w:p w14:paraId="4532BAFD" w14:textId="77777777" w:rsidR="00167CE7" w:rsidRPr="00FD5B14" w:rsidRDefault="00167CE7" w:rsidP="00167CE7">
            <w:pPr>
              <w:spacing w:after="0"/>
              <w:jc w:val="center"/>
              <w:rPr>
                <w:rFonts w:ascii="Times New Roman" w:hAnsi="Times New Roman"/>
                <w:color w:val="000000"/>
                <w:sz w:val="24"/>
                <w:szCs w:val="24"/>
                <w:lang w:val="id-ID" w:eastAsia="id-ID"/>
              </w:rPr>
            </w:pPr>
          </w:p>
        </w:tc>
      </w:tr>
      <w:tr w:rsidR="00FD5B14" w:rsidRPr="00FD5B14" w14:paraId="47794E2A" w14:textId="77777777" w:rsidTr="00FD5B14">
        <w:trPr>
          <w:trHeight w:val="318"/>
          <w:jc w:val="center"/>
        </w:trPr>
        <w:tc>
          <w:tcPr>
            <w:tcW w:w="960" w:type="dxa"/>
            <w:vMerge w:val="restart"/>
            <w:shd w:val="clear" w:color="auto" w:fill="auto"/>
            <w:noWrap/>
            <w:vAlign w:val="center"/>
            <w:hideMark/>
          </w:tcPr>
          <w:p w14:paraId="26B2CB9F"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3278" w:type="dxa"/>
            <w:shd w:val="clear" w:color="auto" w:fill="auto"/>
            <w:noWrap/>
            <w:vAlign w:val="center"/>
            <w:hideMark/>
          </w:tcPr>
          <w:p w14:paraId="343A4A6F" w14:textId="2E30215C"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a. </w:t>
            </w:r>
            <w:r w:rsidRPr="00FD5B14">
              <w:rPr>
                <w:rFonts w:ascii="Times New Roman" w:hAnsi="Times New Roman"/>
                <w:color w:val="000000"/>
                <w:sz w:val="24"/>
                <w:szCs w:val="24"/>
                <w:lang w:eastAsia="id-ID"/>
              </w:rPr>
              <w:t>Lose Condition</w:t>
            </w:r>
          </w:p>
        </w:tc>
        <w:tc>
          <w:tcPr>
            <w:tcW w:w="1755" w:type="dxa"/>
            <w:shd w:val="clear" w:color="auto" w:fill="auto"/>
            <w:noWrap/>
            <w:vAlign w:val="center"/>
            <w:hideMark/>
          </w:tcPr>
          <w:p w14:paraId="3B465C97"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1,66</w:t>
            </w:r>
          </w:p>
        </w:tc>
        <w:tc>
          <w:tcPr>
            <w:tcW w:w="1880" w:type="dxa"/>
            <w:shd w:val="clear" w:color="auto" w:fill="auto"/>
            <w:noWrap/>
            <w:vAlign w:val="center"/>
            <w:hideMark/>
          </w:tcPr>
          <w:p w14:paraId="155AE5A6"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1,6 - 1,9 kg/liter</w:t>
            </w:r>
          </w:p>
        </w:tc>
      </w:tr>
      <w:tr w:rsidR="00FD5B14" w:rsidRPr="00FD5B14" w14:paraId="7BAC5911" w14:textId="77777777" w:rsidTr="00FD5B14">
        <w:trPr>
          <w:trHeight w:val="318"/>
          <w:jc w:val="center"/>
        </w:trPr>
        <w:tc>
          <w:tcPr>
            <w:tcW w:w="960" w:type="dxa"/>
            <w:vMerge/>
            <w:vAlign w:val="center"/>
            <w:hideMark/>
          </w:tcPr>
          <w:p w14:paraId="13B86A3E" w14:textId="77777777" w:rsidR="00167CE7" w:rsidRPr="00FD5B14" w:rsidRDefault="00167CE7" w:rsidP="00167CE7">
            <w:pPr>
              <w:spacing w:after="0"/>
              <w:rPr>
                <w:rFonts w:ascii="Times New Roman" w:hAnsi="Times New Roman"/>
                <w:color w:val="000000"/>
                <w:sz w:val="24"/>
                <w:szCs w:val="24"/>
                <w:lang w:val="id-ID" w:eastAsia="id-ID"/>
              </w:rPr>
            </w:pPr>
          </w:p>
        </w:tc>
        <w:tc>
          <w:tcPr>
            <w:tcW w:w="3278" w:type="dxa"/>
            <w:shd w:val="clear" w:color="auto" w:fill="auto"/>
            <w:noWrap/>
            <w:vAlign w:val="center"/>
            <w:hideMark/>
          </w:tcPr>
          <w:p w14:paraId="24D07CDB" w14:textId="4F03CB37"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Pr="00FD5B14">
              <w:rPr>
                <w:rFonts w:ascii="Times New Roman" w:hAnsi="Times New Roman"/>
                <w:color w:val="000000"/>
                <w:sz w:val="24"/>
                <w:szCs w:val="24"/>
                <w:lang w:eastAsia="id-ID"/>
              </w:rPr>
              <w:t>Compacted Condition</w:t>
            </w:r>
          </w:p>
        </w:tc>
        <w:tc>
          <w:tcPr>
            <w:tcW w:w="1755" w:type="dxa"/>
            <w:shd w:val="clear" w:color="auto" w:fill="auto"/>
            <w:noWrap/>
            <w:vAlign w:val="center"/>
            <w:hideMark/>
          </w:tcPr>
          <w:p w14:paraId="6D52971A"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1,84</w:t>
            </w:r>
          </w:p>
        </w:tc>
        <w:tc>
          <w:tcPr>
            <w:tcW w:w="1880" w:type="dxa"/>
            <w:shd w:val="clear" w:color="auto" w:fill="auto"/>
            <w:noWrap/>
            <w:vAlign w:val="center"/>
            <w:hideMark/>
          </w:tcPr>
          <w:p w14:paraId="147BAD78"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1,6 - 1,9 kg/liter</w:t>
            </w:r>
          </w:p>
        </w:tc>
      </w:tr>
      <w:tr w:rsidR="00FD5B14" w:rsidRPr="00FD5B14" w14:paraId="42EE94BE" w14:textId="77777777" w:rsidTr="00FD5B14">
        <w:trPr>
          <w:trHeight w:val="318"/>
          <w:jc w:val="center"/>
        </w:trPr>
        <w:tc>
          <w:tcPr>
            <w:tcW w:w="960" w:type="dxa"/>
            <w:shd w:val="clear" w:color="auto" w:fill="auto"/>
            <w:noWrap/>
            <w:vAlign w:val="center"/>
            <w:hideMark/>
          </w:tcPr>
          <w:p w14:paraId="1DE1E4D4"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4</w:t>
            </w:r>
          </w:p>
        </w:tc>
        <w:tc>
          <w:tcPr>
            <w:tcW w:w="3278" w:type="dxa"/>
            <w:shd w:val="clear" w:color="auto" w:fill="auto"/>
            <w:noWrap/>
            <w:vAlign w:val="center"/>
            <w:hideMark/>
          </w:tcPr>
          <w:p w14:paraId="7E145208" w14:textId="430BC178"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eastAsia="id-ID"/>
              </w:rPr>
              <w:t xml:space="preserve">Absorption </w:t>
            </w:r>
          </w:p>
        </w:tc>
        <w:tc>
          <w:tcPr>
            <w:tcW w:w="1755" w:type="dxa"/>
            <w:shd w:val="clear" w:color="auto" w:fill="auto"/>
            <w:noWrap/>
            <w:vAlign w:val="center"/>
            <w:hideMark/>
          </w:tcPr>
          <w:p w14:paraId="6C9C05D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1,11</w:t>
            </w:r>
          </w:p>
        </w:tc>
        <w:tc>
          <w:tcPr>
            <w:tcW w:w="1880" w:type="dxa"/>
            <w:shd w:val="clear" w:color="auto" w:fill="auto"/>
            <w:noWrap/>
            <w:vAlign w:val="center"/>
            <w:hideMark/>
          </w:tcPr>
          <w:p w14:paraId="389A3DB7"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4%</w:t>
            </w:r>
          </w:p>
        </w:tc>
      </w:tr>
      <w:tr w:rsidR="00FD5B14" w:rsidRPr="00FD5B14" w14:paraId="7449ABE4" w14:textId="77777777" w:rsidTr="00FD5B14">
        <w:trPr>
          <w:trHeight w:val="318"/>
          <w:jc w:val="center"/>
        </w:trPr>
        <w:tc>
          <w:tcPr>
            <w:tcW w:w="960" w:type="dxa"/>
            <w:shd w:val="clear" w:color="auto" w:fill="auto"/>
            <w:noWrap/>
            <w:vAlign w:val="center"/>
            <w:hideMark/>
          </w:tcPr>
          <w:p w14:paraId="55CD0E9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w:t>
            </w:r>
          </w:p>
        </w:tc>
        <w:tc>
          <w:tcPr>
            <w:tcW w:w="3278" w:type="dxa"/>
            <w:shd w:val="clear" w:color="auto" w:fill="auto"/>
            <w:noWrap/>
            <w:vAlign w:val="center"/>
            <w:hideMark/>
          </w:tcPr>
          <w:p w14:paraId="36B6BC2F" w14:textId="570A0C1A"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Specific gravity</w:t>
            </w:r>
          </w:p>
        </w:tc>
        <w:tc>
          <w:tcPr>
            <w:tcW w:w="1755" w:type="dxa"/>
            <w:shd w:val="clear" w:color="auto" w:fill="auto"/>
            <w:noWrap/>
            <w:vAlign w:val="center"/>
            <w:hideMark/>
          </w:tcPr>
          <w:p w14:paraId="1B5E296C"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1880" w:type="dxa"/>
            <w:shd w:val="clear" w:color="auto" w:fill="auto"/>
            <w:noWrap/>
            <w:vAlign w:val="center"/>
            <w:hideMark/>
          </w:tcPr>
          <w:p w14:paraId="0667DF9E" w14:textId="77777777" w:rsidR="00167CE7" w:rsidRPr="00FD5B14" w:rsidRDefault="00167CE7" w:rsidP="00167CE7">
            <w:pPr>
              <w:spacing w:after="0"/>
              <w:jc w:val="center"/>
              <w:rPr>
                <w:rFonts w:ascii="Times New Roman" w:hAnsi="Times New Roman"/>
                <w:color w:val="000000"/>
                <w:sz w:val="24"/>
                <w:szCs w:val="24"/>
                <w:lang w:val="id-ID" w:eastAsia="id-ID"/>
              </w:rPr>
            </w:pPr>
          </w:p>
        </w:tc>
      </w:tr>
      <w:tr w:rsidR="00FD5B14" w:rsidRPr="00FD5B14" w14:paraId="607A1EC3" w14:textId="77777777" w:rsidTr="00FD5B14">
        <w:trPr>
          <w:trHeight w:val="318"/>
          <w:jc w:val="center"/>
        </w:trPr>
        <w:tc>
          <w:tcPr>
            <w:tcW w:w="960" w:type="dxa"/>
            <w:vMerge w:val="restart"/>
            <w:shd w:val="clear" w:color="auto" w:fill="auto"/>
            <w:noWrap/>
            <w:vAlign w:val="center"/>
            <w:hideMark/>
          </w:tcPr>
          <w:p w14:paraId="495442D6" w14:textId="77777777" w:rsidR="00167CE7" w:rsidRPr="00FD5B14" w:rsidRDefault="00167CE7" w:rsidP="00167CE7">
            <w:pPr>
              <w:spacing w:after="0"/>
              <w:jc w:val="center"/>
              <w:rPr>
                <w:rFonts w:ascii="Times New Roman" w:hAnsi="Times New Roman"/>
                <w:color w:val="000000"/>
                <w:sz w:val="24"/>
                <w:szCs w:val="24"/>
                <w:lang w:val="id-ID" w:eastAsia="id-ID"/>
              </w:rPr>
            </w:pPr>
          </w:p>
        </w:tc>
        <w:tc>
          <w:tcPr>
            <w:tcW w:w="3278" w:type="dxa"/>
            <w:shd w:val="clear" w:color="auto" w:fill="auto"/>
            <w:noWrap/>
            <w:vAlign w:val="center"/>
            <w:hideMark/>
          </w:tcPr>
          <w:p w14:paraId="4094F312" w14:textId="22970D93"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a. Bulk Specific gravity</w:t>
            </w:r>
          </w:p>
        </w:tc>
        <w:tc>
          <w:tcPr>
            <w:tcW w:w="1755" w:type="dxa"/>
            <w:shd w:val="clear" w:color="auto" w:fill="auto"/>
            <w:noWrap/>
            <w:vAlign w:val="center"/>
            <w:hideMark/>
          </w:tcPr>
          <w:p w14:paraId="2D3DBF86"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2,98</w:t>
            </w:r>
          </w:p>
        </w:tc>
        <w:tc>
          <w:tcPr>
            <w:tcW w:w="1880" w:type="dxa"/>
            <w:shd w:val="clear" w:color="auto" w:fill="auto"/>
            <w:noWrap/>
            <w:vAlign w:val="center"/>
            <w:hideMark/>
          </w:tcPr>
          <w:p w14:paraId="34E9442F"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1,60 - 3,33</w:t>
            </w:r>
          </w:p>
        </w:tc>
      </w:tr>
      <w:tr w:rsidR="00FD5B14" w:rsidRPr="00FD5B14" w14:paraId="5F0A5463" w14:textId="77777777" w:rsidTr="00FD5B14">
        <w:trPr>
          <w:trHeight w:val="318"/>
          <w:jc w:val="center"/>
        </w:trPr>
        <w:tc>
          <w:tcPr>
            <w:tcW w:w="960" w:type="dxa"/>
            <w:vMerge/>
            <w:vAlign w:val="center"/>
            <w:hideMark/>
          </w:tcPr>
          <w:p w14:paraId="47FAF72E" w14:textId="77777777" w:rsidR="00167CE7" w:rsidRPr="00FD5B14" w:rsidRDefault="00167CE7" w:rsidP="00167CE7">
            <w:pPr>
              <w:spacing w:after="0"/>
              <w:rPr>
                <w:rFonts w:ascii="Times New Roman" w:hAnsi="Times New Roman"/>
                <w:color w:val="000000"/>
                <w:sz w:val="24"/>
                <w:szCs w:val="24"/>
                <w:lang w:val="id-ID" w:eastAsia="id-ID"/>
              </w:rPr>
            </w:pPr>
          </w:p>
        </w:tc>
        <w:tc>
          <w:tcPr>
            <w:tcW w:w="3278" w:type="dxa"/>
            <w:shd w:val="clear" w:color="auto" w:fill="auto"/>
            <w:noWrap/>
            <w:vAlign w:val="center"/>
            <w:hideMark/>
          </w:tcPr>
          <w:p w14:paraId="01E97F79" w14:textId="7E7D91B3" w:rsidR="00167CE7" w:rsidRPr="00FD5B14" w:rsidRDefault="00167CE7" w:rsidP="00167CE7">
            <w:pPr>
              <w:spacing w:after="0"/>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 xml:space="preserve">b. </w:t>
            </w:r>
            <w:r w:rsidRPr="00FD5B14">
              <w:rPr>
                <w:rFonts w:ascii="Times New Roman" w:hAnsi="Times New Roman"/>
                <w:color w:val="000000"/>
                <w:sz w:val="24"/>
                <w:szCs w:val="24"/>
                <w:lang w:eastAsia="id-ID"/>
              </w:rPr>
              <w:t>A</w:t>
            </w:r>
            <w:r w:rsidRPr="00FD5B14">
              <w:rPr>
                <w:rFonts w:ascii="Times New Roman" w:hAnsi="Times New Roman"/>
                <w:color w:val="000000"/>
                <w:sz w:val="24"/>
                <w:szCs w:val="24"/>
                <w:lang w:val="id-ID" w:eastAsia="id-ID"/>
              </w:rPr>
              <w:t>pparent specific gravity</w:t>
            </w:r>
          </w:p>
        </w:tc>
        <w:tc>
          <w:tcPr>
            <w:tcW w:w="1755" w:type="dxa"/>
            <w:shd w:val="clear" w:color="auto" w:fill="auto"/>
            <w:noWrap/>
            <w:vAlign w:val="center"/>
            <w:hideMark/>
          </w:tcPr>
          <w:p w14:paraId="75CBFDAD"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2,88</w:t>
            </w:r>
          </w:p>
        </w:tc>
        <w:tc>
          <w:tcPr>
            <w:tcW w:w="1880" w:type="dxa"/>
            <w:shd w:val="clear" w:color="auto" w:fill="auto"/>
            <w:noWrap/>
            <w:vAlign w:val="center"/>
            <w:hideMark/>
          </w:tcPr>
          <w:p w14:paraId="2DCFC2F2" w14:textId="77777777" w:rsidR="00167CE7" w:rsidRPr="00FD5B14" w:rsidRDefault="00167CE7" w:rsidP="00167CE7">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1,60 - 3,33</w:t>
            </w:r>
          </w:p>
        </w:tc>
      </w:tr>
      <w:tr w:rsidR="00FD5B14" w:rsidRPr="00FD5B14" w14:paraId="325CDC71" w14:textId="77777777" w:rsidTr="00FD5B14">
        <w:trPr>
          <w:trHeight w:val="318"/>
          <w:jc w:val="center"/>
        </w:trPr>
        <w:tc>
          <w:tcPr>
            <w:tcW w:w="960" w:type="dxa"/>
            <w:vMerge/>
            <w:vAlign w:val="center"/>
          </w:tcPr>
          <w:p w14:paraId="63DD9D1D" w14:textId="77777777" w:rsidR="00FD5B14" w:rsidRPr="00FD5B14" w:rsidRDefault="00FD5B14" w:rsidP="00FD5B14">
            <w:pPr>
              <w:spacing w:after="0"/>
              <w:rPr>
                <w:rFonts w:ascii="Times New Roman" w:hAnsi="Times New Roman"/>
                <w:color w:val="000000"/>
                <w:sz w:val="24"/>
                <w:szCs w:val="24"/>
                <w:lang w:val="id-ID" w:eastAsia="id-ID"/>
              </w:rPr>
            </w:pPr>
          </w:p>
        </w:tc>
        <w:tc>
          <w:tcPr>
            <w:tcW w:w="3278" w:type="dxa"/>
            <w:shd w:val="clear" w:color="auto" w:fill="auto"/>
            <w:noWrap/>
            <w:vAlign w:val="center"/>
          </w:tcPr>
          <w:p w14:paraId="47E1500E" w14:textId="2BF0B4FB" w:rsidR="00FD5B14" w:rsidRPr="00FD5B14" w:rsidRDefault="00FD5B14" w:rsidP="00FD5B14">
            <w:pPr>
              <w:spacing w:after="0"/>
              <w:rPr>
                <w:rFonts w:ascii="Times New Roman" w:hAnsi="Times New Roman"/>
                <w:color w:val="000000"/>
                <w:sz w:val="24"/>
                <w:szCs w:val="24"/>
                <w:lang w:eastAsia="id-ID"/>
              </w:rPr>
            </w:pPr>
            <w:r>
              <w:rPr>
                <w:rFonts w:ascii="Times New Roman" w:hAnsi="Times New Roman"/>
                <w:color w:val="000000"/>
                <w:sz w:val="24"/>
                <w:szCs w:val="24"/>
                <w:lang w:eastAsia="id-ID"/>
              </w:rPr>
              <w:t xml:space="preserve">c. Surface </w:t>
            </w:r>
            <w:r w:rsidRPr="00FD5B14">
              <w:rPr>
                <w:rFonts w:ascii="Times New Roman" w:hAnsi="Times New Roman"/>
                <w:color w:val="000000"/>
                <w:sz w:val="24"/>
                <w:szCs w:val="24"/>
                <w:lang w:val="id-ID" w:eastAsia="id-ID"/>
              </w:rPr>
              <w:t>specific gravity</w:t>
            </w:r>
          </w:p>
        </w:tc>
        <w:tc>
          <w:tcPr>
            <w:tcW w:w="1755" w:type="dxa"/>
            <w:shd w:val="clear" w:color="auto" w:fill="auto"/>
            <w:noWrap/>
          </w:tcPr>
          <w:p w14:paraId="29C8FFDB" w14:textId="67AF4682" w:rsidR="00FD5B14" w:rsidRPr="00FD5B14" w:rsidRDefault="00FD5B14" w:rsidP="00FD5B14">
            <w:pPr>
              <w:spacing w:after="0"/>
              <w:jc w:val="center"/>
              <w:rPr>
                <w:rFonts w:ascii="Times New Roman" w:hAnsi="Times New Roman"/>
                <w:color w:val="000000"/>
                <w:sz w:val="24"/>
                <w:szCs w:val="24"/>
                <w:lang w:val="id-ID" w:eastAsia="id-ID"/>
              </w:rPr>
            </w:pPr>
            <w:r w:rsidRPr="00C332EF">
              <w:t>2,92</w:t>
            </w:r>
          </w:p>
        </w:tc>
        <w:tc>
          <w:tcPr>
            <w:tcW w:w="1880" w:type="dxa"/>
            <w:shd w:val="clear" w:color="auto" w:fill="auto"/>
            <w:noWrap/>
          </w:tcPr>
          <w:p w14:paraId="1F0C3513" w14:textId="4A30D14D" w:rsidR="00FD5B14" w:rsidRPr="00FD5B14" w:rsidRDefault="00FD5B14" w:rsidP="00FD5B14">
            <w:pPr>
              <w:spacing w:after="0"/>
              <w:jc w:val="center"/>
              <w:rPr>
                <w:rFonts w:ascii="Times New Roman" w:hAnsi="Times New Roman"/>
                <w:color w:val="000000"/>
                <w:sz w:val="24"/>
                <w:szCs w:val="24"/>
                <w:lang w:val="id-ID" w:eastAsia="id-ID"/>
              </w:rPr>
            </w:pPr>
            <w:r w:rsidRPr="00C332EF">
              <w:t>1,60 - 3,33</w:t>
            </w:r>
          </w:p>
        </w:tc>
      </w:tr>
      <w:tr w:rsidR="00167CE7" w:rsidRPr="00FD5B14" w14:paraId="00B7717C" w14:textId="77777777" w:rsidTr="00FD5B14">
        <w:trPr>
          <w:trHeight w:val="574"/>
          <w:jc w:val="center"/>
        </w:trPr>
        <w:tc>
          <w:tcPr>
            <w:tcW w:w="960" w:type="dxa"/>
            <w:shd w:val="clear" w:color="auto" w:fill="auto"/>
            <w:noWrap/>
            <w:vAlign w:val="center"/>
            <w:hideMark/>
          </w:tcPr>
          <w:p w14:paraId="6A41F729"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6</w:t>
            </w:r>
          </w:p>
        </w:tc>
        <w:tc>
          <w:tcPr>
            <w:tcW w:w="3278" w:type="dxa"/>
            <w:shd w:val="clear" w:color="auto" w:fill="auto"/>
            <w:noWrap/>
            <w:vAlign w:val="center"/>
            <w:hideMark/>
          </w:tcPr>
          <w:p w14:paraId="7FB3C5CB" w14:textId="019B88D2" w:rsidR="00167CE7" w:rsidRPr="00FD5B14" w:rsidRDefault="00167CE7"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Fineness Modulus</w:t>
            </w:r>
          </w:p>
        </w:tc>
        <w:tc>
          <w:tcPr>
            <w:tcW w:w="1755" w:type="dxa"/>
            <w:shd w:val="clear" w:color="auto" w:fill="auto"/>
            <w:noWrap/>
            <w:vAlign w:val="center"/>
            <w:hideMark/>
          </w:tcPr>
          <w:p w14:paraId="2EB7FE26"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7,43</w:t>
            </w:r>
          </w:p>
        </w:tc>
        <w:tc>
          <w:tcPr>
            <w:tcW w:w="1880" w:type="dxa"/>
            <w:shd w:val="clear" w:color="auto" w:fill="auto"/>
            <w:noWrap/>
            <w:vAlign w:val="center"/>
            <w:hideMark/>
          </w:tcPr>
          <w:p w14:paraId="639DC5F4" w14:textId="77777777" w:rsidR="00167CE7" w:rsidRPr="00FD5B14" w:rsidRDefault="00167CE7"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5,5 - 8,5</w:t>
            </w:r>
          </w:p>
        </w:tc>
      </w:tr>
      <w:tr w:rsidR="00FD5B14" w:rsidRPr="00FD5B14" w14:paraId="1801D4D5" w14:textId="77777777" w:rsidTr="00FD5B14">
        <w:trPr>
          <w:trHeight w:val="318"/>
          <w:jc w:val="center"/>
        </w:trPr>
        <w:tc>
          <w:tcPr>
            <w:tcW w:w="960" w:type="dxa"/>
            <w:shd w:val="clear" w:color="auto" w:fill="auto"/>
            <w:noWrap/>
            <w:vAlign w:val="center"/>
            <w:hideMark/>
          </w:tcPr>
          <w:p w14:paraId="62A55B52"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7</w:t>
            </w:r>
          </w:p>
        </w:tc>
        <w:tc>
          <w:tcPr>
            <w:tcW w:w="3278" w:type="dxa"/>
            <w:shd w:val="clear" w:color="auto" w:fill="auto"/>
            <w:noWrap/>
            <w:vAlign w:val="center"/>
            <w:hideMark/>
          </w:tcPr>
          <w:p w14:paraId="7CAD3360" w14:textId="7C3F5E66" w:rsidR="00622B90" w:rsidRPr="00FD5B14" w:rsidRDefault="00167CE7" w:rsidP="00FB7CCD">
            <w:pPr>
              <w:spacing w:after="0"/>
              <w:rPr>
                <w:rFonts w:ascii="Times New Roman" w:hAnsi="Times New Roman"/>
                <w:color w:val="000000"/>
                <w:sz w:val="24"/>
                <w:szCs w:val="24"/>
                <w:lang w:eastAsia="id-ID"/>
              </w:rPr>
            </w:pPr>
            <w:r w:rsidRPr="00FD5B14">
              <w:rPr>
                <w:rFonts w:ascii="Times New Roman" w:hAnsi="Times New Roman"/>
                <w:color w:val="000000"/>
                <w:sz w:val="24"/>
                <w:szCs w:val="24"/>
                <w:lang w:eastAsia="id-ID"/>
              </w:rPr>
              <w:t>Abrasion</w:t>
            </w:r>
          </w:p>
        </w:tc>
        <w:tc>
          <w:tcPr>
            <w:tcW w:w="1755" w:type="dxa"/>
            <w:shd w:val="clear" w:color="auto" w:fill="auto"/>
            <w:noWrap/>
            <w:vAlign w:val="center"/>
            <w:hideMark/>
          </w:tcPr>
          <w:p w14:paraId="1B98DADF"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31</w:t>
            </w:r>
          </w:p>
        </w:tc>
        <w:tc>
          <w:tcPr>
            <w:tcW w:w="1880" w:type="dxa"/>
            <w:shd w:val="clear" w:color="auto" w:fill="auto"/>
            <w:noWrap/>
            <w:vAlign w:val="center"/>
            <w:hideMark/>
          </w:tcPr>
          <w:p w14:paraId="52114D31" w14:textId="77777777" w:rsidR="00622B90" w:rsidRPr="00FD5B14" w:rsidRDefault="00622B90" w:rsidP="00FB7CCD">
            <w:pPr>
              <w:spacing w:after="0"/>
              <w:jc w:val="center"/>
              <w:rPr>
                <w:rFonts w:ascii="Times New Roman" w:hAnsi="Times New Roman"/>
                <w:color w:val="000000"/>
                <w:sz w:val="24"/>
                <w:szCs w:val="24"/>
                <w:lang w:val="id-ID" w:eastAsia="id-ID"/>
              </w:rPr>
            </w:pPr>
            <w:r w:rsidRPr="00FD5B14">
              <w:rPr>
                <w:rFonts w:ascii="Times New Roman" w:hAnsi="Times New Roman"/>
                <w:color w:val="000000"/>
                <w:sz w:val="24"/>
                <w:szCs w:val="24"/>
                <w:lang w:val="id-ID" w:eastAsia="id-ID"/>
              </w:rPr>
              <w:t>Maks 50%</w:t>
            </w:r>
          </w:p>
        </w:tc>
      </w:tr>
    </w:tbl>
    <w:p w14:paraId="1034D570" w14:textId="64A933FC" w:rsidR="009675E1" w:rsidRDefault="00CC1689" w:rsidP="00FD5B14">
      <w:pPr>
        <w:pStyle w:val="ListParagraph"/>
        <w:spacing w:before="360" w:after="0" w:line="360" w:lineRule="auto"/>
        <w:ind w:left="634" w:firstLine="360"/>
        <w:contextualSpacing w:val="0"/>
        <w:jc w:val="both"/>
        <w:rPr>
          <w:rFonts w:ascii="Times New Roman" w:hAnsi="Times New Roman"/>
          <w:sz w:val="24"/>
        </w:rPr>
      </w:pPr>
      <w:r w:rsidRPr="00CC1689">
        <w:rPr>
          <w:rFonts w:ascii="Times New Roman" w:hAnsi="Times New Roman"/>
          <w:sz w:val="24"/>
        </w:rPr>
        <w:lastRenderedPageBreak/>
        <w:t>Table 5 demonstrates that all kinds of testing for fine aggregate's properties satisfy the criteria for usage as a concrete component material, as they conform to Indonesian national regulations. Similarly, Table 6 demonstrates that coarse aggregate meets all required testing criteria as a concrete component material. Both coarse and fine aggregates have features that, if they do not satisfy the criteria for standard construction materials, they may have an adverse effect on the quality of the concrete.</w:t>
      </w:r>
    </w:p>
    <w:p w14:paraId="69283099" w14:textId="70D0B488" w:rsidR="00DE0E00" w:rsidRDefault="00DE0E00" w:rsidP="009675E1">
      <w:pPr>
        <w:pStyle w:val="ListParagraph"/>
        <w:numPr>
          <w:ilvl w:val="0"/>
          <w:numId w:val="34"/>
        </w:numPr>
        <w:spacing w:before="120" w:after="120" w:line="360" w:lineRule="auto"/>
        <w:ind w:left="461" w:hanging="187"/>
        <w:contextualSpacing w:val="0"/>
        <w:jc w:val="both"/>
        <w:rPr>
          <w:rFonts w:ascii="Times New Roman" w:hAnsi="Times New Roman"/>
          <w:b/>
          <w:sz w:val="24"/>
          <w:szCs w:val="24"/>
          <w:lang w:val="id-ID"/>
        </w:rPr>
      </w:pPr>
      <w:r>
        <w:rPr>
          <w:rFonts w:ascii="Times New Roman" w:hAnsi="Times New Roman"/>
          <w:b/>
          <w:sz w:val="24"/>
          <w:szCs w:val="24"/>
          <w:lang w:val="id-ID"/>
        </w:rPr>
        <w:t>Slump Flow</w:t>
      </w:r>
    </w:p>
    <w:p w14:paraId="45DD486E" w14:textId="6D22E488" w:rsidR="00DE0E00" w:rsidRDefault="00DE0E00" w:rsidP="0026757D">
      <w:pPr>
        <w:pStyle w:val="ListParagraph"/>
        <w:spacing w:before="120" w:after="0" w:line="360" w:lineRule="auto"/>
        <w:ind w:left="270" w:firstLine="720"/>
        <w:contextualSpacing w:val="0"/>
        <w:jc w:val="both"/>
        <w:rPr>
          <w:rFonts w:ascii="Times New Roman" w:hAnsi="Times New Roman"/>
          <w:sz w:val="24"/>
          <w:szCs w:val="24"/>
          <w:lang w:val="id-ID"/>
        </w:rPr>
      </w:pPr>
      <w:r>
        <w:rPr>
          <w:rFonts w:ascii="Times New Roman" w:hAnsi="Times New Roman"/>
          <w:b/>
          <w:sz w:val="24"/>
          <w:szCs w:val="24"/>
          <w:lang w:val="id-ID"/>
        </w:rPr>
        <w:tab/>
      </w:r>
      <w:r w:rsidR="005C2D51" w:rsidRPr="005C2D51">
        <w:rPr>
          <w:rFonts w:ascii="Times New Roman" w:hAnsi="Times New Roman"/>
          <w:sz w:val="24"/>
          <w:szCs w:val="24"/>
        </w:rPr>
        <w:t>To evaluate the workability of the SCC concrete mix, a Slump Flow test is performed. Workability refers to the ease with which the SCC concrete mix may be mixed, carried, poured, and compacted without producing segregation of the concrete components. The degree of workability is determined by the mixture's composition, physical properties, and the kind of mixing medium used. As shown in Figure 1, the slump flow test at a molarity of 11-15 fulfilled the EFNARC criteria but did not satisfy them at a molarity of 13-15 because the self-compacting geopolymer concrete underwent fast bonding throughout the flow and therefore did not achieve the diameter limit. The EFNARC requirement is between 650 and 800.</w:t>
      </w:r>
    </w:p>
    <w:p w14:paraId="67E519B5" w14:textId="77777777" w:rsidR="008542AA" w:rsidRDefault="008542AA" w:rsidP="007C2C60">
      <w:pPr>
        <w:spacing w:after="0" w:line="360" w:lineRule="auto"/>
        <w:jc w:val="both"/>
        <w:rPr>
          <w:lang w:val="id-ID"/>
        </w:rPr>
      </w:pPr>
    </w:p>
    <w:p w14:paraId="38FE9F4D" w14:textId="7C43DE33" w:rsidR="00B73995" w:rsidRDefault="00B73995" w:rsidP="00B73995">
      <w:pPr>
        <w:spacing w:after="0" w:line="360" w:lineRule="auto"/>
        <w:jc w:val="center"/>
        <w:rPr>
          <w:rFonts w:ascii="Times New Roman" w:hAnsi="Times New Roman"/>
          <w:sz w:val="24"/>
          <w:szCs w:val="24"/>
          <w:lang w:val="id-ID"/>
        </w:rPr>
      </w:pPr>
      <w:r>
        <w:rPr>
          <w:noProof/>
          <w:lang w:val="id-ID" w:eastAsia="id-ID"/>
        </w:rPr>
        <w:drawing>
          <wp:inline distT="0" distB="0" distL="0" distR="0" wp14:anchorId="52B051EC" wp14:editId="7C1E2E65">
            <wp:extent cx="4299585" cy="2466975"/>
            <wp:effectExtent l="0" t="0" r="571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AC9FA5" w14:textId="09FF9BF6" w:rsidR="00017B78" w:rsidRPr="00945BC3" w:rsidRDefault="00B40D40" w:rsidP="00945BC3">
      <w:pPr>
        <w:spacing w:after="0" w:line="360" w:lineRule="auto"/>
        <w:jc w:val="center"/>
        <w:rPr>
          <w:rFonts w:ascii="Times New Roman" w:hAnsi="Times New Roman"/>
          <w:sz w:val="24"/>
          <w:szCs w:val="24"/>
          <w:lang w:val="id-ID"/>
        </w:rPr>
      </w:pPr>
      <w:r w:rsidRPr="00B40D40">
        <w:rPr>
          <w:rFonts w:ascii="Times New Roman" w:hAnsi="Times New Roman"/>
          <w:sz w:val="24"/>
          <w:szCs w:val="24"/>
          <w:lang w:val="id-ID"/>
        </w:rPr>
        <w:t>Figure 1 Slump Flow in SCGC concrete</w:t>
      </w:r>
    </w:p>
    <w:p w14:paraId="61B9DAEF" w14:textId="27EF17C0" w:rsidR="00A03FD5" w:rsidRDefault="00945BC3" w:rsidP="0026757D">
      <w:pPr>
        <w:pStyle w:val="ListParagraph"/>
        <w:numPr>
          <w:ilvl w:val="0"/>
          <w:numId w:val="34"/>
        </w:numPr>
        <w:spacing w:before="240" w:line="360" w:lineRule="auto"/>
        <w:ind w:left="450" w:hanging="180"/>
        <w:jc w:val="both"/>
        <w:rPr>
          <w:rFonts w:ascii="Times New Roman" w:hAnsi="Times New Roman"/>
          <w:b/>
          <w:bCs/>
          <w:sz w:val="24"/>
          <w:szCs w:val="24"/>
          <w:lang w:val="id-ID"/>
        </w:rPr>
      </w:pPr>
      <w:r>
        <w:rPr>
          <w:rFonts w:ascii="Times New Roman" w:hAnsi="Times New Roman"/>
          <w:b/>
          <w:bCs/>
          <w:sz w:val="24"/>
          <w:szCs w:val="24"/>
        </w:rPr>
        <w:t xml:space="preserve">The Compressive </w:t>
      </w:r>
      <w:proofErr w:type="spellStart"/>
      <w:r>
        <w:rPr>
          <w:rFonts w:ascii="Times New Roman" w:hAnsi="Times New Roman"/>
          <w:b/>
          <w:bCs/>
          <w:sz w:val="24"/>
          <w:szCs w:val="24"/>
        </w:rPr>
        <w:t>Strenght</w:t>
      </w:r>
      <w:proofErr w:type="spellEnd"/>
    </w:p>
    <w:p w14:paraId="663E7362" w14:textId="1DE384C5" w:rsidR="003775E0" w:rsidRDefault="00945BC3" w:rsidP="003F64DC">
      <w:pPr>
        <w:spacing w:line="360" w:lineRule="auto"/>
        <w:ind w:left="270" w:firstLine="720"/>
        <w:jc w:val="both"/>
        <w:rPr>
          <w:rFonts w:ascii="Times New Roman" w:hAnsi="Times New Roman"/>
          <w:sz w:val="24"/>
          <w:szCs w:val="24"/>
        </w:rPr>
      </w:pPr>
      <w:r w:rsidRPr="00945BC3">
        <w:rPr>
          <w:rFonts w:ascii="Times New Roman" w:hAnsi="Times New Roman"/>
          <w:sz w:val="24"/>
          <w:szCs w:val="24"/>
        </w:rPr>
        <w:t>At the age of 28 days, the compressive strength test was performed. The load is applied until the test item cracks or the load is no longer able to be applied. It is shown on the UTM tool by a pointer. For comparison, Figure 2 displays the compressive strength of seawater-cured SCGC and air-cured SCGC.</w:t>
      </w:r>
      <w:r w:rsidR="00290CB5">
        <w:rPr>
          <w:rFonts w:ascii="Times New Roman" w:hAnsi="Times New Roman"/>
          <w:sz w:val="24"/>
          <w:szCs w:val="24"/>
        </w:rPr>
        <w:t xml:space="preserve"> </w:t>
      </w:r>
    </w:p>
    <w:p w14:paraId="11A70731" w14:textId="00F2165F" w:rsidR="009A2259" w:rsidRDefault="00F31840" w:rsidP="003F64DC">
      <w:pPr>
        <w:spacing w:after="0" w:line="360" w:lineRule="auto"/>
        <w:ind w:left="270"/>
        <w:jc w:val="center"/>
        <w:rPr>
          <w:rFonts w:ascii="Times New Roman" w:hAnsi="Times New Roman"/>
          <w:sz w:val="24"/>
          <w:szCs w:val="24"/>
          <w:lang w:val="id-ID"/>
        </w:rPr>
      </w:pPr>
      <w:r>
        <w:rPr>
          <w:noProof/>
          <w:lang w:val="id-ID" w:eastAsia="id-ID"/>
        </w:rPr>
        <w:lastRenderedPageBreak/>
        <w:drawing>
          <wp:inline distT="0" distB="0" distL="0" distR="0" wp14:anchorId="6250DE07" wp14:editId="116C6F3C">
            <wp:extent cx="4914900" cy="2343150"/>
            <wp:effectExtent l="0" t="0" r="0" b="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35FFD7C-8068-4888-8D00-48B68D83E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CBA7A9" w14:textId="5437637D" w:rsidR="009A2259" w:rsidRDefault="00F31840" w:rsidP="003F64DC">
      <w:pPr>
        <w:spacing w:line="360" w:lineRule="auto"/>
        <w:ind w:left="270"/>
        <w:jc w:val="center"/>
        <w:rPr>
          <w:rFonts w:ascii="Times New Roman" w:hAnsi="Times New Roman"/>
          <w:sz w:val="24"/>
          <w:szCs w:val="24"/>
        </w:rPr>
      </w:pPr>
      <w:r w:rsidRPr="00F31840">
        <w:rPr>
          <w:rFonts w:ascii="Times New Roman" w:hAnsi="Times New Roman"/>
          <w:b/>
          <w:bCs/>
          <w:sz w:val="24"/>
          <w:szCs w:val="24"/>
        </w:rPr>
        <w:t>Figure</w:t>
      </w:r>
      <w:r w:rsidR="009A2259" w:rsidRPr="00F31840">
        <w:rPr>
          <w:rFonts w:ascii="Times New Roman" w:hAnsi="Times New Roman"/>
          <w:b/>
          <w:bCs/>
          <w:sz w:val="24"/>
          <w:szCs w:val="24"/>
        </w:rPr>
        <w:t xml:space="preserve"> 2</w:t>
      </w:r>
      <w:r w:rsidR="009A2259">
        <w:rPr>
          <w:rFonts w:ascii="Times New Roman" w:hAnsi="Times New Roman"/>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Compresive</w:t>
      </w:r>
      <w:proofErr w:type="spellEnd"/>
      <w:r>
        <w:rPr>
          <w:rFonts w:ascii="Times New Roman" w:hAnsi="Times New Roman"/>
          <w:sz w:val="24"/>
          <w:szCs w:val="24"/>
        </w:rPr>
        <w:t xml:space="preserve"> Strength of air-cured SCGC and seawater-cured SCGC</w:t>
      </w:r>
    </w:p>
    <w:p w14:paraId="5B9453D1" w14:textId="0C7F3300" w:rsidR="00FA560C" w:rsidRPr="0072304F" w:rsidRDefault="0022499D" w:rsidP="0026757D">
      <w:pPr>
        <w:spacing w:after="0" w:line="360" w:lineRule="auto"/>
        <w:ind w:left="270" w:firstLine="720"/>
        <w:jc w:val="both"/>
        <w:rPr>
          <w:rFonts w:ascii="Times New Roman" w:hAnsi="Times New Roman"/>
          <w:sz w:val="24"/>
          <w:szCs w:val="24"/>
        </w:rPr>
      </w:pPr>
      <w:r w:rsidRPr="0022499D">
        <w:rPr>
          <w:rFonts w:ascii="Times New Roman" w:hAnsi="Times New Roman"/>
          <w:sz w:val="24"/>
          <w:szCs w:val="24"/>
        </w:rPr>
        <w:t>The compressive strength of seawater-cured SCGC is compared to that of air-cured SCGC in Figure 2. Seawater curing has a significant impact on the compressive strength of SCGC concrete. This is shown in Figure 2, where nearly all of the compressive strength was lost owing to saltwater curing. However, a rise in the compressive strength of the seawater-cured SCGC was associated with an increase in the activator's molarity. Compressive strength of seawater-cured SCGC is lower than that of air-cured SCGC when the molarity is between 11 and 14. Sea water has a detrimental impact on the compressive strength of seawater-cured SCGC, reducing it by 44.10 percent, 39.34 percent, 30.39 percent, and 13.39 percent, respectively, compared to air-cured SCGC. When 15 M was used, the compressive strength of seawater-cured SCGC was greater than that of water-cured SCGC, with a 6.71 percent increase.</w:t>
      </w:r>
    </w:p>
    <w:p w14:paraId="44D14547" w14:textId="778579D8" w:rsidR="002952A5" w:rsidRDefault="0022499D" w:rsidP="002C14B2">
      <w:pPr>
        <w:pStyle w:val="ListParagraph"/>
        <w:numPr>
          <w:ilvl w:val="0"/>
          <w:numId w:val="34"/>
        </w:numPr>
        <w:spacing w:before="240" w:after="0" w:line="360" w:lineRule="auto"/>
        <w:ind w:left="450" w:hanging="180"/>
        <w:jc w:val="both"/>
        <w:rPr>
          <w:rFonts w:ascii="Times New Roman" w:hAnsi="Times New Roman"/>
          <w:b/>
          <w:bCs/>
          <w:sz w:val="24"/>
          <w:szCs w:val="24"/>
        </w:rPr>
      </w:pPr>
      <w:r>
        <w:rPr>
          <w:rFonts w:ascii="Times New Roman" w:hAnsi="Times New Roman"/>
          <w:b/>
          <w:bCs/>
          <w:sz w:val="24"/>
          <w:szCs w:val="24"/>
        </w:rPr>
        <w:t>The Split Tensile Strength</w:t>
      </w:r>
    </w:p>
    <w:p w14:paraId="39FCC2F0" w14:textId="6488B9A1" w:rsidR="002952A5" w:rsidRDefault="0022499D" w:rsidP="002C14B2">
      <w:pPr>
        <w:spacing w:after="0" w:line="360" w:lineRule="auto"/>
        <w:ind w:left="270" w:firstLine="720"/>
        <w:jc w:val="both"/>
        <w:rPr>
          <w:rFonts w:ascii="Times New Roman" w:hAnsi="Times New Roman"/>
          <w:sz w:val="24"/>
          <w:szCs w:val="24"/>
        </w:rPr>
      </w:pPr>
      <w:r w:rsidRPr="0022499D">
        <w:rPr>
          <w:rFonts w:ascii="Times New Roman" w:hAnsi="Times New Roman"/>
          <w:sz w:val="24"/>
          <w:szCs w:val="24"/>
        </w:rPr>
        <w:t>The split tensile strength of split concrete is determined when it is subjected to the maximum load. Split tensile strength is then computed using the resultant data in accordance with Indonesian National Standard (SNI 2491-2014</w:t>
      </w:r>
      <w:r>
        <w:rPr>
          <w:rFonts w:ascii="Times New Roman" w:hAnsi="Times New Roman"/>
          <w:sz w:val="24"/>
          <w:szCs w:val="24"/>
        </w:rPr>
        <w:t>)</w:t>
      </w:r>
      <w:r w:rsidRPr="0022499D">
        <w:rPr>
          <w:rFonts w:ascii="Times New Roman" w:hAnsi="Times New Roman"/>
          <w:sz w:val="24"/>
          <w:szCs w:val="24"/>
        </w:rPr>
        <w:t>. The split tensile strength test results are shown in Figure 3.</w:t>
      </w:r>
      <w:r w:rsidR="007551EE">
        <w:rPr>
          <w:rFonts w:ascii="Times New Roman" w:hAnsi="Times New Roman"/>
          <w:sz w:val="24"/>
          <w:szCs w:val="24"/>
        </w:rPr>
        <w:t xml:space="preserve"> </w:t>
      </w:r>
    </w:p>
    <w:p w14:paraId="6C463BB0" w14:textId="5D6CC5D9" w:rsidR="002C14B2" w:rsidRDefault="002C14B2" w:rsidP="002C14B2">
      <w:pPr>
        <w:spacing w:line="360" w:lineRule="auto"/>
        <w:ind w:left="270" w:firstLine="720"/>
        <w:jc w:val="both"/>
        <w:rPr>
          <w:rFonts w:ascii="Times New Roman" w:hAnsi="Times New Roman"/>
          <w:sz w:val="24"/>
          <w:szCs w:val="24"/>
        </w:rPr>
      </w:pPr>
      <w:r w:rsidRPr="00775257">
        <w:rPr>
          <w:rFonts w:ascii="Times New Roman" w:hAnsi="Times New Roman"/>
          <w:sz w:val="24"/>
          <w:szCs w:val="24"/>
        </w:rPr>
        <w:t xml:space="preserve">The compressive strength of seawater-cured SCGC is compared to that of air-cured SCGC in Figure 3. Seawater curing has a significant impact on the split tensile strength of SCGC concrete. As shown in Figure 3, almost all of the tensile strength diminishes as a result of saltwater curing. However, SCGC treated with sea water demonstrated a rise in splitting strength concurrent with an increase in activator molarity. Compressive strength of seawater-cured SCGC is lower than that of air-cured SCGC when the molarity is between 11 and 13. Split tensile strength was reduced by 35.14 percent, 18.99 percent, and 8.88 percent in seawater-cured SCGC, respectively. </w:t>
      </w:r>
      <w:r w:rsidRPr="00775257">
        <w:rPr>
          <w:rFonts w:ascii="Times New Roman" w:hAnsi="Times New Roman"/>
          <w:sz w:val="24"/>
          <w:szCs w:val="24"/>
        </w:rPr>
        <w:lastRenderedPageBreak/>
        <w:t>The split tensile strength of SCGC seawater-cured concrete was greater than the split tensile strength of SCGC air-cured concrete when activators 14 M and 15 M were used, increasing by 2.49 percent and 12.61 percent, respectively.</w:t>
      </w:r>
    </w:p>
    <w:p w14:paraId="729075D4" w14:textId="461943A5" w:rsidR="00290CB5" w:rsidRPr="002952A5" w:rsidRDefault="002C14B2" w:rsidP="001B76D7">
      <w:pPr>
        <w:spacing w:after="0" w:line="360" w:lineRule="auto"/>
        <w:jc w:val="center"/>
        <w:rPr>
          <w:rFonts w:ascii="Times New Roman" w:hAnsi="Times New Roman"/>
          <w:sz w:val="24"/>
          <w:szCs w:val="24"/>
          <w:lang w:val="id-ID"/>
        </w:rPr>
      </w:pPr>
      <w:r>
        <w:rPr>
          <w:noProof/>
          <w:lang w:val="id-ID" w:eastAsia="id-ID"/>
        </w:rPr>
        <w:drawing>
          <wp:inline distT="0" distB="0" distL="0" distR="0" wp14:anchorId="5244F173" wp14:editId="27153EFB">
            <wp:extent cx="4419600" cy="2714625"/>
            <wp:effectExtent l="0" t="0" r="0"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8455C2A-7BA4-48EF-8A85-DC4264BBD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2B714E" w14:textId="5BBEE048" w:rsidR="00BC2B19" w:rsidRDefault="003F64DC" w:rsidP="005E766D">
      <w:pPr>
        <w:spacing w:line="360" w:lineRule="auto"/>
        <w:jc w:val="center"/>
        <w:rPr>
          <w:rFonts w:ascii="Times New Roman" w:hAnsi="Times New Roman"/>
          <w:sz w:val="24"/>
          <w:szCs w:val="24"/>
        </w:rPr>
      </w:pPr>
      <w:r w:rsidRPr="003F64DC">
        <w:rPr>
          <w:rFonts w:ascii="Times New Roman" w:hAnsi="Times New Roman"/>
          <w:b/>
          <w:bCs/>
          <w:sz w:val="24"/>
          <w:szCs w:val="24"/>
        </w:rPr>
        <w:t>Figure</w:t>
      </w:r>
      <w:r w:rsidR="00290CB5" w:rsidRPr="003F64DC">
        <w:rPr>
          <w:rFonts w:ascii="Times New Roman" w:hAnsi="Times New Roman"/>
          <w:b/>
          <w:bCs/>
          <w:sz w:val="24"/>
          <w:szCs w:val="24"/>
        </w:rPr>
        <w:t xml:space="preserve"> </w:t>
      </w:r>
      <w:r w:rsidR="004255D9" w:rsidRPr="003F64DC">
        <w:rPr>
          <w:rFonts w:ascii="Times New Roman" w:hAnsi="Times New Roman"/>
          <w:b/>
          <w:bCs/>
          <w:sz w:val="24"/>
          <w:szCs w:val="24"/>
        </w:rPr>
        <w:t>3</w:t>
      </w:r>
      <w:r w:rsidR="004255D9">
        <w:rPr>
          <w:rFonts w:ascii="Times New Roman" w:hAnsi="Times New Roman"/>
          <w:sz w:val="24"/>
          <w:szCs w:val="24"/>
        </w:rPr>
        <w:t xml:space="preserve">. </w:t>
      </w:r>
      <w:r>
        <w:rPr>
          <w:rFonts w:ascii="Times New Roman" w:hAnsi="Times New Roman"/>
          <w:sz w:val="24"/>
          <w:szCs w:val="24"/>
        </w:rPr>
        <w:t>The Split Tensile Strength of air-cured SCGC and seawater-cured SCGC</w:t>
      </w:r>
    </w:p>
    <w:p w14:paraId="34FE18EB" w14:textId="0A2D8623" w:rsidR="00A24CC1" w:rsidRDefault="00D568E2" w:rsidP="00775257">
      <w:pPr>
        <w:spacing w:after="0" w:line="360" w:lineRule="auto"/>
        <w:jc w:val="both"/>
        <w:rPr>
          <w:rFonts w:ascii="Times New Roman" w:hAnsi="Times New Roman"/>
          <w:b/>
          <w:sz w:val="24"/>
          <w:szCs w:val="24"/>
          <w:lang w:val="id-ID"/>
        </w:rPr>
      </w:pPr>
      <w:r>
        <w:rPr>
          <w:rFonts w:ascii="Times New Roman" w:hAnsi="Times New Roman"/>
          <w:b/>
          <w:sz w:val="24"/>
          <w:szCs w:val="24"/>
          <w:lang w:val="id-ID"/>
        </w:rPr>
        <w:t>5.</w:t>
      </w:r>
      <w:r w:rsidR="00775257">
        <w:rPr>
          <w:rFonts w:ascii="Times New Roman" w:hAnsi="Times New Roman"/>
          <w:b/>
          <w:sz w:val="24"/>
          <w:szCs w:val="24"/>
        </w:rPr>
        <w:t xml:space="preserve"> </w:t>
      </w:r>
      <w:r w:rsidR="00E1377D">
        <w:rPr>
          <w:rFonts w:ascii="Times New Roman" w:hAnsi="Times New Roman"/>
          <w:b/>
          <w:sz w:val="24"/>
          <w:szCs w:val="24"/>
          <w:lang w:val="id-ID"/>
        </w:rPr>
        <w:t>Conclusion and Suggestion</w:t>
      </w:r>
    </w:p>
    <w:p w14:paraId="0C6CE0F3" w14:textId="4FAAD03D" w:rsidR="00D568E2" w:rsidRDefault="00D568E2" w:rsidP="00775257">
      <w:pPr>
        <w:spacing w:after="0" w:line="360" w:lineRule="auto"/>
        <w:ind w:left="567" w:hanging="567"/>
        <w:jc w:val="both"/>
        <w:rPr>
          <w:rFonts w:ascii="Times New Roman" w:hAnsi="Times New Roman"/>
          <w:b/>
          <w:sz w:val="24"/>
          <w:szCs w:val="24"/>
          <w:lang w:val="id-ID"/>
        </w:rPr>
      </w:pPr>
      <w:r>
        <w:rPr>
          <w:rFonts w:ascii="Times New Roman" w:hAnsi="Times New Roman"/>
          <w:b/>
          <w:sz w:val="24"/>
          <w:szCs w:val="24"/>
          <w:lang w:val="id-ID"/>
        </w:rPr>
        <w:t>5.1</w:t>
      </w:r>
      <w:r>
        <w:rPr>
          <w:rFonts w:ascii="Times New Roman" w:hAnsi="Times New Roman"/>
          <w:b/>
          <w:sz w:val="24"/>
          <w:szCs w:val="24"/>
          <w:lang w:val="id-ID"/>
        </w:rPr>
        <w:tab/>
      </w:r>
      <w:r w:rsidR="00E1377D">
        <w:rPr>
          <w:rFonts w:ascii="Times New Roman" w:hAnsi="Times New Roman"/>
          <w:b/>
          <w:sz w:val="24"/>
          <w:szCs w:val="24"/>
          <w:lang w:val="id-ID"/>
        </w:rPr>
        <w:t>Conclusion</w:t>
      </w:r>
    </w:p>
    <w:p w14:paraId="67038F1F" w14:textId="52A504C9" w:rsidR="005E766D" w:rsidRDefault="004F62B9" w:rsidP="004F62B9">
      <w:pPr>
        <w:spacing w:after="0" w:line="360" w:lineRule="auto"/>
        <w:jc w:val="both"/>
        <w:rPr>
          <w:rFonts w:ascii="Times New Roman" w:hAnsi="Times New Roman"/>
          <w:sz w:val="24"/>
          <w:szCs w:val="24"/>
        </w:rPr>
      </w:pPr>
      <w:r w:rsidRPr="004F62B9">
        <w:rPr>
          <w:rFonts w:ascii="Times New Roman" w:hAnsi="Times New Roman"/>
          <w:sz w:val="24"/>
          <w:szCs w:val="24"/>
        </w:rPr>
        <w:t>The following conclusions are drawn from the study's findings</w:t>
      </w:r>
      <w:r w:rsidR="0047055A">
        <w:rPr>
          <w:rFonts w:ascii="Times New Roman" w:hAnsi="Times New Roman"/>
          <w:sz w:val="24"/>
          <w:szCs w:val="24"/>
        </w:rPr>
        <w:t>:</w:t>
      </w:r>
    </w:p>
    <w:p w14:paraId="50B24AE3" w14:textId="627AFEB7"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As the activator molarity rises, the slump value of SCGC concrete falls. It does not qualify as SCGC concrete in the 14 M and 15 M variants.</w:t>
      </w:r>
    </w:p>
    <w:p w14:paraId="62EFB9DC" w14:textId="31B97A87"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Compressive and split tensile strengths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rise in proportion to the activator's molarity.</w:t>
      </w:r>
    </w:p>
    <w:p w14:paraId="21BA0D22" w14:textId="4D27E3EE"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When using an activator concentration of 11-14 M, the compressive and split tensile strengths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are lower than those of air-cured SCGC, while when using a concentration of 15 M, the reverse is true.</w:t>
      </w:r>
    </w:p>
    <w:p w14:paraId="79968D84" w14:textId="00C1446B" w:rsidR="0047055A" w:rsidRP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With a molarity of 11 to 14,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has a lower compressive strength than air-cured SCGC. Compressive strength decreased by 44.10 percent, 39.34 percent, 30.39 percent, and 13.39 percent in the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respectively. While the compressive strength of the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was greater than the compressive strength of the air-cured SCGC, there was a 6.71 percent improvement in compressive strength when 15 M was used.</w:t>
      </w:r>
    </w:p>
    <w:p w14:paraId="1FB56285" w14:textId="7135699A" w:rsidR="0047055A" w:rsidRDefault="0047055A" w:rsidP="0047055A">
      <w:pPr>
        <w:pStyle w:val="ListParagraph"/>
        <w:numPr>
          <w:ilvl w:val="1"/>
          <w:numId w:val="39"/>
        </w:numPr>
        <w:spacing w:after="0" w:line="360" w:lineRule="auto"/>
        <w:ind w:left="360"/>
        <w:jc w:val="both"/>
        <w:rPr>
          <w:rFonts w:ascii="Times New Roman" w:hAnsi="Times New Roman"/>
          <w:sz w:val="24"/>
          <w:szCs w:val="24"/>
        </w:rPr>
      </w:pPr>
      <w:r w:rsidRPr="0047055A">
        <w:rPr>
          <w:rFonts w:ascii="Times New Roman" w:hAnsi="Times New Roman"/>
          <w:sz w:val="24"/>
          <w:szCs w:val="24"/>
        </w:rPr>
        <w:t xml:space="preserve">When an 11-13 M activator was used, the split tensile strength of jointed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 xml:space="preserve">-cured SCGC decreased by 35.14, 18.99, and 8.88 percent, respectively. While activators 14 and 15 M were used, the split tensile strength of </w:t>
      </w:r>
      <w:proofErr w:type="spellStart"/>
      <w:r w:rsidRPr="0047055A">
        <w:rPr>
          <w:rFonts w:ascii="Times New Roman" w:hAnsi="Times New Roman"/>
          <w:sz w:val="24"/>
          <w:szCs w:val="24"/>
        </w:rPr>
        <w:t>sewater</w:t>
      </w:r>
      <w:proofErr w:type="spellEnd"/>
      <w:r w:rsidRPr="0047055A">
        <w:rPr>
          <w:rFonts w:ascii="Times New Roman" w:hAnsi="Times New Roman"/>
          <w:sz w:val="24"/>
          <w:szCs w:val="24"/>
        </w:rPr>
        <w:t>-cured SCGC was greater than that of water-cured SCGC, increasing by 2.49 and 12.61 percent, respectively.</w:t>
      </w:r>
    </w:p>
    <w:p w14:paraId="55137A6F" w14:textId="23BF2508" w:rsidR="00D568E2" w:rsidRPr="00D568E2" w:rsidRDefault="00D568E2" w:rsidP="0047055A">
      <w:pPr>
        <w:spacing w:before="120" w:after="120" w:line="360" w:lineRule="auto"/>
        <w:ind w:left="360" w:hanging="360"/>
        <w:jc w:val="both"/>
        <w:rPr>
          <w:rFonts w:ascii="Times New Roman" w:hAnsi="Times New Roman"/>
          <w:sz w:val="24"/>
          <w:szCs w:val="24"/>
          <w:lang w:val="id-ID"/>
        </w:rPr>
      </w:pPr>
      <w:r>
        <w:rPr>
          <w:rFonts w:ascii="Times New Roman" w:hAnsi="Times New Roman"/>
          <w:b/>
          <w:sz w:val="24"/>
          <w:szCs w:val="24"/>
          <w:lang w:val="id-ID"/>
        </w:rPr>
        <w:lastRenderedPageBreak/>
        <w:t>5.1</w:t>
      </w:r>
      <w:r>
        <w:rPr>
          <w:rFonts w:ascii="Times New Roman" w:hAnsi="Times New Roman"/>
          <w:b/>
          <w:sz w:val="24"/>
          <w:szCs w:val="24"/>
          <w:lang w:val="id-ID"/>
        </w:rPr>
        <w:tab/>
      </w:r>
      <w:r w:rsidR="009675E1">
        <w:rPr>
          <w:rFonts w:ascii="Times New Roman" w:hAnsi="Times New Roman"/>
          <w:b/>
          <w:sz w:val="24"/>
          <w:szCs w:val="24"/>
        </w:rPr>
        <w:tab/>
      </w:r>
      <w:r>
        <w:rPr>
          <w:rFonts w:ascii="Times New Roman" w:hAnsi="Times New Roman"/>
          <w:b/>
          <w:sz w:val="24"/>
          <w:szCs w:val="24"/>
          <w:lang w:val="id-ID"/>
        </w:rPr>
        <w:t>S</w:t>
      </w:r>
      <w:r w:rsidR="00544A0C">
        <w:rPr>
          <w:rFonts w:ascii="Times New Roman" w:hAnsi="Times New Roman"/>
          <w:b/>
          <w:sz w:val="24"/>
          <w:szCs w:val="24"/>
          <w:lang w:val="id-ID"/>
        </w:rPr>
        <w:t>uggestion</w:t>
      </w:r>
    </w:p>
    <w:p w14:paraId="2D08D7A2" w14:textId="4465E53C" w:rsidR="0047055A" w:rsidRPr="0047055A" w:rsidRDefault="0047055A" w:rsidP="0047055A">
      <w:pPr>
        <w:pStyle w:val="ListParagraph"/>
        <w:numPr>
          <w:ilvl w:val="0"/>
          <w:numId w:val="30"/>
        </w:numPr>
        <w:spacing w:after="0" w:line="360" w:lineRule="auto"/>
        <w:ind w:left="360"/>
        <w:jc w:val="both"/>
        <w:rPr>
          <w:rFonts w:ascii="Times New Roman" w:hAnsi="Times New Roman"/>
          <w:sz w:val="24"/>
          <w:szCs w:val="24"/>
        </w:rPr>
      </w:pPr>
      <w:r w:rsidRPr="0047055A">
        <w:rPr>
          <w:rFonts w:ascii="Times New Roman" w:hAnsi="Times New Roman"/>
          <w:sz w:val="24"/>
          <w:szCs w:val="24"/>
        </w:rPr>
        <w:t>A similar investigation of the mechanical characteristics of SCGC concrete immersed in saltwater for an extended period of time is required.</w:t>
      </w:r>
    </w:p>
    <w:p w14:paraId="52C5F4F7" w14:textId="275AF9DD" w:rsidR="0087506F" w:rsidRPr="005E766D" w:rsidRDefault="0047055A" w:rsidP="0047055A">
      <w:pPr>
        <w:pStyle w:val="ListParagraph"/>
        <w:numPr>
          <w:ilvl w:val="0"/>
          <w:numId w:val="30"/>
        </w:numPr>
        <w:spacing w:after="0" w:line="360" w:lineRule="auto"/>
        <w:ind w:left="360"/>
        <w:jc w:val="both"/>
        <w:rPr>
          <w:rFonts w:ascii="Times New Roman" w:hAnsi="Times New Roman"/>
          <w:b/>
          <w:sz w:val="24"/>
          <w:szCs w:val="24"/>
          <w:lang w:val="id-ID"/>
        </w:rPr>
      </w:pPr>
      <w:r w:rsidRPr="0047055A">
        <w:rPr>
          <w:rFonts w:ascii="Times New Roman" w:hAnsi="Times New Roman"/>
          <w:sz w:val="24"/>
          <w:szCs w:val="24"/>
        </w:rPr>
        <w:t>It is essential to investigate the optimum value of the alkaline modulus in self-compacting geopolymer concrete immersed in saltwater, as well as the variation of additional materials (</w:t>
      </w:r>
      <w:proofErr w:type="spellStart"/>
      <w:r w:rsidRPr="0047055A">
        <w:rPr>
          <w:rFonts w:ascii="Times New Roman" w:hAnsi="Times New Roman"/>
          <w:sz w:val="24"/>
          <w:szCs w:val="24"/>
        </w:rPr>
        <w:t>viscocrete</w:t>
      </w:r>
      <w:proofErr w:type="spellEnd"/>
      <w:r w:rsidRPr="0047055A">
        <w:rPr>
          <w:rFonts w:ascii="Times New Roman" w:hAnsi="Times New Roman"/>
          <w:sz w:val="24"/>
          <w:szCs w:val="24"/>
        </w:rPr>
        <w:t xml:space="preserve"> and retarder).</w:t>
      </w:r>
      <w:r w:rsidR="005E766D">
        <w:rPr>
          <w:rFonts w:ascii="Times New Roman" w:hAnsi="Times New Roman"/>
          <w:sz w:val="24"/>
          <w:szCs w:val="24"/>
        </w:rPr>
        <w:t xml:space="preserve"> </w:t>
      </w:r>
    </w:p>
    <w:p w14:paraId="54D7C56F" w14:textId="7D9185C6" w:rsidR="00993CEB" w:rsidRPr="00BB6C7F" w:rsidRDefault="00BB6C7F" w:rsidP="0047055A">
      <w:pPr>
        <w:spacing w:before="240" w:after="0" w:line="360" w:lineRule="auto"/>
        <w:jc w:val="both"/>
        <w:rPr>
          <w:rFonts w:ascii="Times New Roman" w:hAnsi="Times New Roman"/>
          <w:sz w:val="24"/>
          <w:szCs w:val="24"/>
          <w:lang w:val="id-ID"/>
        </w:rPr>
      </w:pPr>
      <w:r w:rsidRPr="00BB6C7F">
        <w:rPr>
          <w:rFonts w:ascii="Times New Roman" w:hAnsi="Times New Roman"/>
          <w:b/>
          <w:sz w:val="24"/>
          <w:szCs w:val="24"/>
          <w:lang w:val="id-ID"/>
        </w:rPr>
        <w:t>References</w:t>
      </w:r>
    </w:p>
    <w:p w14:paraId="4D1672F1" w14:textId="3AB7E6B8" w:rsidR="00A676CE" w:rsidRPr="00A676CE" w:rsidRDefault="00993CEB" w:rsidP="0047055A">
      <w:pPr>
        <w:widowControl w:val="0"/>
        <w:autoSpaceDE w:val="0"/>
        <w:autoSpaceDN w:val="0"/>
        <w:adjustRightInd w:val="0"/>
        <w:spacing w:line="240" w:lineRule="auto"/>
        <w:ind w:left="640" w:hanging="640"/>
        <w:jc w:val="both"/>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A676CE" w:rsidRPr="00A676CE">
        <w:rPr>
          <w:rFonts w:ascii="Times New Roman" w:hAnsi="Times New Roman"/>
          <w:noProof/>
          <w:sz w:val="24"/>
          <w:szCs w:val="24"/>
        </w:rPr>
        <w:t>[1]</w:t>
      </w:r>
      <w:r w:rsidR="00A676CE" w:rsidRPr="00A676CE">
        <w:rPr>
          <w:rFonts w:ascii="Times New Roman" w:hAnsi="Times New Roman"/>
          <w:noProof/>
          <w:sz w:val="24"/>
          <w:szCs w:val="24"/>
        </w:rPr>
        <w:tab/>
        <w:t xml:space="preserve">E. Bachtiar </w:t>
      </w:r>
      <w:r w:rsidR="00A676CE" w:rsidRPr="00A676CE">
        <w:rPr>
          <w:rFonts w:ascii="Times New Roman" w:hAnsi="Times New Roman"/>
          <w:i/>
          <w:iCs/>
          <w:noProof/>
          <w:sz w:val="24"/>
          <w:szCs w:val="24"/>
        </w:rPr>
        <w:t>et al.</w:t>
      </w:r>
      <w:r w:rsidR="00A676CE" w:rsidRPr="00A676CE">
        <w:rPr>
          <w:rFonts w:ascii="Times New Roman" w:hAnsi="Times New Roman"/>
          <w:noProof/>
          <w:sz w:val="24"/>
          <w:szCs w:val="24"/>
        </w:rPr>
        <w:t xml:space="preserve">, “The development of compressive strength on geopolymer mortar using fly ash as based material in South Sulawesi,” </w:t>
      </w:r>
      <w:r w:rsidR="00A676CE" w:rsidRPr="00A676CE">
        <w:rPr>
          <w:rFonts w:ascii="Times New Roman" w:hAnsi="Times New Roman"/>
          <w:i/>
          <w:iCs/>
          <w:noProof/>
          <w:sz w:val="24"/>
          <w:szCs w:val="24"/>
        </w:rPr>
        <w:t>Int. J. Civ. Eng. Technol.</w:t>
      </w:r>
      <w:r w:rsidR="00A676CE" w:rsidRPr="00A676CE">
        <w:rPr>
          <w:rFonts w:ascii="Times New Roman" w:hAnsi="Times New Roman"/>
          <w:noProof/>
          <w:sz w:val="24"/>
          <w:szCs w:val="24"/>
        </w:rPr>
        <w:t>, vol. 9, no. 10, pp. 1465–1472, 2018.</w:t>
      </w:r>
    </w:p>
    <w:p w14:paraId="71447279"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[2]</w:t>
      </w:r>
      <w:r w:rsidRPr="00A676CE">
        <w:rPr>
          <w:rFonts w:ascii="Times New Roman" w:hAnsi="Times New Roman"/>
          <w:noProof/>
          <w:sz w:val="24"/>
          <w:szCs w:val="24"/>
        </w:rPr>
        <w:tab/>
        <w:t xml:space="preserve">E. Bachtiar, I. Marzuki, A. M. Setiawan, and A. M. Nurpadli, “Correlation of NAOH composition and alkali modulus to compressive strength on geopolymers mortar,” </w:t>
      </w:r>
      <w:r w:rsidRPr="00A676CE">
        <w:rPr>
          <w:rFonts w:ascii="Times New Roman" w:hAnsi="Times New Roman"/>
          <w:i/>
          <w:iCs/>
          <w:noProof/>
          <w:sz w:val="24"/>
          <w:szCs w:val="24"/>
        </w:rPr>
        <w:t>ARPN J. Eng. Appl. Sci.</w:t>
      </w:r>
      <w:r w:rsidRPr="00A676CE">
        <w:rPr>
          <w:rFonts w:ascii="Times New Roman" w:hAnsi="Times New Roman"/>
          <w:noProof/>
          <w:sz w:val="24"/>
          <w:szCs w:val="24"/>
        </w:rPr>
        <w:t>, vol. 15, no. 5, pp. 1–6, 2020.</w:t>
      </w:r>
    </w:p>
    <w:p w14:paraId="69E86D83"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[3]</w:t>
      </w:r>
      <w:r w:rsidRPr="00A676CE">
        <w:rPr>
          <w:rFonts w:ascii="Times New Roman" w:hAnsi="Times New Roman"/>
          <w:noProof/>
          <w:sz w:val="24"/>
          <w:szCs w:val="24"/>
        </w:rPr>
        <w:tab/>
        <w:t xml:space="preserve">EFNARC, </w:t>
      </w:r>
      <w:r w:rsidRPr="00A676CE">
        <w:rPr>
          <w:rFonts w:ascii="Times New Roman" w:hAnsi="Times New Roman"/>
          <w:i/>
          <w:iCs/>
          <w:noProof/>
          <w:sz w:val="24"/>
          <w:szCs w:val="24"/>
        </w:rPr>
        <w:t>The European Guidelines for Self-Compacting Concrete: Specification, Production and Use</w:t>
      </w:r>
      <w:r w:rsidRPr="00A676CE">
        <w:rPr>
          <w:rFonts w:ascii="Times New Roman" w:hAnsi="Times New Roman"/>
          <w:noProof/>
          <w:sz w:val="24"/>
          <w:szCs w:val="24"/>
        </w:rPr>
        <w:t>. UK, 2005.</w:t>
      </w:r>
    </w:p>
    <w:p w14:paraId="14BE279D"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[4]</w:t>
      </w:r>
      <w:r w:rsidRPr="00A676CE">
        <w:rPr>
          <w:rFonts w:ascii="Times New Roman" w:hAnsi="Times New Roman"/>
          <w:noProof/>
          <w:sz w:val="24"/>
          <w:szCs w:val="24"/>
        </w:rPr>
        <w:tab/>
        <w:t xml:space="preserve">E. Bachtiar, “The connection between oven curing duration and compressive strength on C-type fly ash based-Geopolymer mortar,” </w:t>
      </w:r>
      <w:r w:rsidRPr="00A676CE">
        <w:rPr>
          <w:rFonts w:ascii="Times New Roman" w:hAnsi="Times New Roman"/>
          <w:i/>
          <w:iCs/>
          <w:noProof/>
          <w:sz w:val="24"/>
          <w:szCs w:val="24"/>
        </w:rPr>
        <w:t>ARPN J. Eng. Appl. Sci.</w:t>
      </w:r>
      <w:r w:rsidRPr="00A676CE">
        <w:rPr>
          <w:rFonts w:ascii="Times New Roman" w:hAnsi="Times New Roman"/>
          <w:noProof/>
          <w:sz w:val="24"/>
          <w:szCs w:val="24"/>
        </w:rPr>
        <w:t>, vol. 15, no. 5, pp. 1–6, 2020.</w:t>
      </w:r>
    </w:p>
    <w:p w14:paraId="5E027086"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[5]</w:t>
      </w:r>
      <w:r w:rsidRPr="00A676CE">
        <w:rPr>
          <w:rFonts w:ascii="Times New Roman" w:hAnsi="Times New Roman"/>
          <w:noProof/>
          <w:sz w:val="24"/>
          <w:szCs w:val="24"/>
        </w:rPr>
        <w:tab/>
        <w:t>Idris and Ibrahim, “Pemanaatan abu terbang batu bara sebagai pengganti sebagian semen untuk campuran beton,” vol. 2019, pp. 165–170, 2019.</w:t>
      </w:r>
    </w:p>
    <w:p w14:paraId="1EA3B141"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[6]</w:t>
      </w:r>
      <w:r w:rsidRPr="00A676CE">
        <w:rPr>
          <w:rFonts w:ascii="Times New Roman" w:hAnsi="Times New Roman"/>
          <w:noProof/>
          <w:sz w:val="24"/>
          <w:szCs w:val="24"/>
        </w:rPr>
        <w:tab/>
        <w:t xml:space="preserve">J. Davidovits, </w:t>
      </w:r>
      <w:r w:rsidRPr="00A676CE">
        <w:rPr>
          <w:rFonts w:ascii="Times New Roman" w:hAnsi="Times New Roman"/>
          <w:i/>
          <w:iCs/>
          <w:noProof/>
          <w:sz w:val="24"/>
          <w:szCs w:val="24"/>
        </w:rPr>
        <w:t>Geopolymer Chemistry and Applications</w:t>
      </w:r>
      <w:r w:rsidRPr="00A676CE">
        <w:rPr>
          <w:rFonts w:ascii="Times New Roman" w:hAnsi="Times New Roman"/>
          <w:noProof/>
          <w:sz w:val="24"/>
          <w:szCs w:val="24"/>
        </w:rPr>
        <w:t>. Geopolymer Institute, Saint-Quentin, 2008.</w:t>
      </w:r>
    </w:p>
    <w:p w14:paraId="08D3C5A9"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[7]</w:t>
      </w:r>
      <w:r w:rsidRPr="00A676CE">
        <w:rPr>
          <w:rFonts w:ascii="Times New Roman" w:hAnsi="Times New Roman"/>
          <w:noProof/>
          <w:sz w:val="24"/>
          <w:szCs w:val="24"/>
        </w:rPr>
        <w:tab/>
        <w:t xml:space="preserve">J. Van Jaarsveld, J. Van Deventer, and G. Lukey, “The Effect Of Composition And Temperature On The Properties Of Fly Ash-And Kaolinite-Based Geopolymers,” </w:t>
      </w:r>
      <w:r w:rsidRPr="00A676CE">
        <w:rPr>
          <w:rFonts w:ascii="Times New Roman" w:hAnsi="Times New Roman"/>
          <w:i/>
          <w:iCs/>
          <w:noProof/>
          <w:sz w:val="24"/>
          <w:szCs w:val="24"/>
        </w:rPr>
        <w:t>Chem. Eng. J.</w:t>
      </w:r>
      <w:r w:rsidRPr="00A676CE">
        <w:rPr>
          <w:rFonts w:ascii="Times New Roman" w:hAnsi="Times New Roman"/>
          <w:noProof/>
          <w:sz w:val="24"/>
          <w:szCs w:val="24"/>
        </w:rPr>
        <w:t>, vol. 89, pp. 63–73, 2002.</w:t>
      </w:r>
    </w:p>
    <w:p w14:paraId="3F529CF7"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[8]</w:t>
      </w:r>
      <w:r w:rsidRPr="00A676CE">
        <w:rPr>
          <w:rFonts w:ascii="Times New Roman" w:hAnsi="Times New Roman"/>
          <w:noProof/>
          <w:sz w:val="24"/>
          <w:szCs w:val="24"/>
        </w:rPr>
        <w:tab/>
        <w:t xml:space="preserve">M. F. Nuruddin, S. Demie, and N. Shafiq, “Effect of mix composition on workability and compressive strength of self-compacting geopolymer concrete,” </w:t>
      </w:r>
      <w:r w:rsidRPr="00A676CE">
        <w:rPr>
          <w:rFonts w:ascii="Times New Roman" w:hAnsi="Times New Roman"/>
          <w:i/>
          <w:iCs/>
          <w:noProof/>
          <w:sz w:val="24"/>
          <w:szCs w:val="24"/>
        </w:rPr>
        <w:t>Can. J. Civ. Eng.</w:t>
      </w:r>
      <w:r w:rsidRPr="00A676CE">
        <w:rPr>
          <w:rFonts w:ascii="Times New Roman" w:hAnsi="Times New Roman"/>
          <w:noProof/>
          <w:sz w:val="24"/>
          <w:szCs w:val="24"/>
        </w:rPr>
        <w:t>, vol. 38, no. 11, pp. 1196–1203, 2011, doi: 10.1139/l11-077.</w:t>
      </w:r>
    </w:p>
    <w:p w14:paraId="5F5C8EE3"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[9]</w:t>
      </w:r>
      <w:r w:rsidRPr="00A676CE">
        <w:rPr>
          <w:rFonts w:ascii="Times New Roman" w:hAnsi="Times New Roman"/>
          <w:noProof/>
          <w:sz w:val="24"/>
          <w:szCs w:val="24"/>
        </w:rPr>
        <w:tab/>
        <w:t xml:space="preserve">F. Memon, M. Nuruddin, and N. Shafiq, “Karakteristik kekuatan tekan dan kemampuan kerja beton geopolimer pemadatan mandiri berbasis abu laying rendah kalsium,” </w:t>
      </w:r>
      <w:r w:rsidRPr="00A676CE">
        <w:rPr>
          <w:rFonts w:ascii="Times New Roman" w:hAnsi="Times New Roman"/>
          <w:i/>
          <w:iCs/>
          <w:noProof/>
          <w:sz w:val="24"/>
          <w:szCs w:val="24"/>
        </w:rPr>
        <w:t>J. Int. Tek. Sipil dan Lingkung.</w:t>
      </w:r>
      <w:r w:rsidRPr="00A676CE">
        <w:rPr>
          <w:rFonts w:ascii="Times New Roman" w:hAnsi="Times New Roman"/>
          <w:noProof/>
          <w:sz w:val="24"/>
          <w:szCs w:val="24"/>
        </w:rPr>
        <w:t>, vol. 3, no. 2, pp. 72–78, 2011.</w:t>
      </w:r>
    </w:p>
    <w:p w14:paraId="7CE28E86"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[10]</w:t>
      </w:r>
      <w:r w:rsidRPr="00A676CE">
        <w:rPr>
          <w:rFonts w:ascii="Times New Roman" w:hAnsi="Times New Roman"/>
          <w:noProof/>
          <w:sz w:val="24"/>
          <w:szCs w:val="24"/>
        </w:rPr>
        <w:tab/>
        <w:t xml:space="preserve">N. A. Lloyd and B. V. Rangan, “Geopolymer concrete with fly ash,” </w:t>
      </w:r>
      <w:r w:rsidRPr="00A676CE">
        <w:rPr>
          <w:rFonts w:ascii="Times New Roman" w:hAnsi="Times New Roman"/>
          <w:i/>
          <w:iCs/>
          <w:noProof/>
          <w:sz w:val="24"/>
          <w:szCs w:val="24"/>
        </w:rPr>
        <w:t>2nd Int. Conf. Sustain. Constr. Mater. Technol.</w:t>
      </w:r>
      <w:r w:rsidRPr="00A676CE">
        <w:rPr>
          <w:rFonts w:ascii="Times New Roman" w:hAnsi="Times New Roman"/>
          <w:noProof/>
          <w:sz w:val="24"/>
          <w:szCs w:val="24"/>
        </w:rPr>
        <w:t>, vol. 7, pp. 1493–1504, 2010.</w:t>
      </w:r>
    </w:p>
    <w:p w14:paraId="1A82B8BF"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[11]</w:t>
      </w:r>
      <w:r w:rsidRPr="00A676CE">
        <w:rPr>
          <w:rFonts w:ascii="Times New Roman" w:hAnsi="Times New Roman"/>
          <w:noProof/>
          <w:sz w:val="24"/>
          <w:szCs w:val="24"/>
        </w:rPr>
        <w:tab/>
        <w:t xml:space="preserve">P. Nath and P. K. Sarker, “Flexural strength and elastic modulus of ambient-cured blended low-calcium fly ash geopolymer concrete,” </w:t>
      </w:r>
      <w:r w:rsidRPr="00A676CE">
        <w:rPr>
          <w:rFonts w:ascii="Times New Roman" w:hAnsi="Times New Roman"/>
          <w:i/>
          <w:iCs/>
          <w:noProof/>
          <w:sz w:val="24"/>
          <w:szCs w:val="24"/>
        </w:rPr>
        <w:t>Constr. Build. Mater.</w:t>
      </w:r>
      <w:r w:rsidRPr="00A676CE">
        <w:rPr>
          <w:rFonts w:ascii="Times New Roman" w:hAnsi="Times New Roman"/>
          <w:noProof/>
          <w:sz w:val="24"/>
          <w:szCs w:val="24"/>
        </w:rPr>
        <w:t>, vol. 130, pp. 22–31, Jan. 2017, doi: 10.1016/j.conbuildmat.2016.11.034.</w:t>
      </w:r>
    </w:p>
    <w:p w14:paraId="23F639DA"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[12]</w:t>
      </w:r>
      <w:r w:rsidRPr="00A676CE">
        <w:rPr>
          <w:rFonts w:ascii="Times New Roman" w:hAnsi="Times New Roman"/>
          <w:noProof/>
          <w:sz w:val="24"/>
          <w:szCs w:val="24"/>
        </w:rPr>
        <w:tab/>
        <w:t xml:space="preserve">E. Bachtiar </w:t>
      </w:r>
      <w:r w:rsidRPr="00A676CE">
        <w:rPr>
          <w:rFonts w:ascii="Times New Roman" w:hAnsi="Times New Roman"/>
          <w:i/>
          <w:iCs/>
          <w:noProof/>
          <w:sz w:val="24"/>
          <w:szCs w:val="24"/>
        </w:rPr>
        <w:t>et al.</w:t>
      </w:r>
      <w:r w:rsidRPr="00A676CE">
        <w:rPr>
          <w:rFonts w:ascii="Times New Roman" w:hAnsi="Times New Roman"/>
          <w:noProof/>
          <w:sz w:val="24"/>
          <w:szCs w:val="24"/>
        </w:rPr>
        <w:t xml:space="preserve">, “The Relationship of Temperature and Compressive Strength on Geopolymer Mortar using Fly Ash-Based,” </w:t>
      </w:r>
      <w:r w:rsidRPr="00A676CE">
        <w:rPr>
          <w:rFonts w:ascii="Times New Roman" w:hAnsi="Times New Roman"/>
          <w:i/>
          <w:iCs/>
          <w:noProof/>
          <w:sz w:val="24"/>
          <w:szCs w:val="24"/>
        </w:rPr>
        <w:t>IOP Conf. Ser. Mater. Sci. Eng.</w:t>
      </w:r>
      <w:r w:rsidRPr="00A676CE">
        <w:rPr>
          <w:rFonts w:ascii="Times New Roman" w:hAnsi="Times New Roman"/>
          <w:noProof/>
          <w:sz w:val="24"/>
          <w:szCs w:val="24"/>
        </w:rPr>
        <w:t>, vol. 885, no. 1, 2020, doi: 10.1088/1757-899X/885/1/012019.</w:t>
      </w:r>
    </w:p>
    <w:p w14:paraId="38161818"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[13]</w:t>
      </w:r>
      <w:r w:rsidRPr="00A676CE">
        <w:rPr>
          <w:rFonts w:ascii="Times New Roman" w:hAnsi="Times New Roman"/>
          <w:noProof/>
          <w:sz w:val="24"/>
          <w:szCs w:val="24"/>
        </w:rPr>
        <w:tab/>
        <w:t>F. A. Memon, M. F. Nuruddin, S. Khan, N. Shafiq, and T. Ayub, “Effect of sodium hydroxide concentration on fresh properties and compressive strength of self-</w:t>
      </w:r>
      <w:r w:rsidRPr="00A676CE">
        <w:rPr>
          <w:rFonts w:ascii="Times New Roman" w:hAnsi="Times New Roman"/>
          <w:noProof/>
          <w:sz w:val="24"/>
          <w:szCs w:val="24"/>
        </w:rPr>
        <w:lastRenderedPageBreak/>
        <w:t xml:space="preserve">compacting geopolymer concrete,” </w:t>
      </w:r>
      <w:r w:rsidRPr="00A676CE">
        <w:rPr>
          <w:rFonts w:ascii="Times New Roman" w:hAnsi="Times New Roman"/>
          <w:i/>
          <w:iCs/>
          <w:noProof/>
          <w:sz w:val="24"/>
          <w:szCs w:val="24"/>
        </w:rPr>
        <w:t>J. Eng. Sci. Technol.</w:t>
      </w:r>
      <w:r w:rsidRPr="00A676CE">
        <w:rPr>
          <w:rFonts w:ascii="Times New Roman" w:hAnsi="Times New Roman"/>
          <w:noProof/>
          <w:sz w:val="24"/>
          <w:szCs w:val="24"/>
        </w:rPr>
        <w:t>, vol. 8, no. 1, pp. 44–56, 2013.</w:t>
      </w:r>
    </w:p>
    <w:p w14:paraId="42A71787"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szCs w:val="24"/>
        </w:rPr>
      </w:pPr>
      <w:r w:rsidRPr="00A676CE">
        <w:rPr>
          <w:rFonts w:ascii="Times New Roman" w:hAnsi="Times New Roman"/>
          <w:noProof/>
          <w:sz w:val="24"/>
          <w:szCs w:val="24"/>
        </w:rPr>
        <w:t>[14]</w:t>
      </w:r>
      <w:r w:rsidRPr="00A676CE">
        <w:rPr>
          <w:rFonts w:ascii="Times New Roman" w:hAnsi="Times New Roman"/>
          <w:noProof/>
          <w:sz w:val="24"/>
          <w:szCs w:val="24"/>
        </w:rPr>
        <w:tab/>
        <w:t xml:space="preserve">ASTM C39/C39M − 12a, </w:t>
      </w:r>
      <w:r w:rsidRPr="00A676CE">
        <w:rPr>
          <w:rFonts w:ascii="Times New Roman" w:hAnsi="Times New Roman"/>
          <w:i/>
          <w:iCs/>
          <w:noProof/>
          <w:sz w:val="24"/>
          <w:szCs w:val="24"/>
        </w:rPr>
        <w:t>Standard Test Method for Compressive Strength of Cylindrical Concrete Specimens</w:t>
      </w:r>
      <w:r w:rsidRPr="00A676CE">
        <w:rPr>
          <w:rFonts w:ascii="Times New Roman" w:hAnsi="Times New Roman"/>
          <w:noProof/>
          <w:sz w:val="24"/>
          <w:szCs w:val="24"/>
        </w:rPr>
        <w:t>. 2012.</w:t>
      </w:r>
    </w:p>
    <w:p w14:paraId="1F3E6279" w14:textId="77777777" w:rsidR="00A676CE" w:rsidRPr="00A676CE" w:rsidRDefault="00A676CE" w:rsidP="0047055A">
      <w:pPr>
        <w:widowControl w:val="0"/>
        <w:autoSpaceDE w:val="0"/>
        <w:autoSpaceDN w:val="0"/>
        <w:adjustRightInd w:val="0"/>
        <w:spacing w:line="240" w:lineRule="auto"/>
        <w:ind w:left="640" w:hanging="640"/>
        <w:jc w:val="both"/>
        <w:rPr>
          <w:rFonts w:ascii="Times New Roman" w:hAnsi="Times New Roman"/>
          <w:noProof/>
          <w:sz w:val="24"/>
        </w:rPr>
      </w:pPr>
      <w:r w:rsidRPr="00A676CE">
        <w:rPr>
          <w:rFonts w:ascii="Times New Roman" w:hAnsi="Times New Roman"/>
          <w:noProof/>
          <w:sz w:val="24"/>
          <w:szCs w:val="24"/>
        </w:rPr>
        <w:t>[15]</w:t>
      </w:r>
      <w:r w:rsidRPr="00A676CE">
        <w:rPr>
          <w:rFonts w:ascii="Times New Roman" w:hAnsi="Times New Roman"/>
          <w:noProof/>
          <w:sz w:val="24"/>
          <w:szCs w:val="24"/>
        </w:rPr>
        <w:tab/>
        <w:t xml:space="preserve">ASTM C496/C496M-11, </w:t>
      </w:r>
      <w:r w:rsidRPr="00A676CE">
        <w:rPr>
          <w:rFonts w:ascii="Times New Roman" w:hAnsi="Times New Roman"/>
          <w:i/>
          <w:iCs/>
          <w:noProof/>
          <w:sz w:val="24"/>
          <w:szCs w:val="24"/>
        </w:rPr>
        <w:t>Standard Test Method for Splitting Tensile Strength of Cylindrical Concrete Specimen</w:t>
      </w:r>
      <w:r w:rsidRPr="00A676CE">
        <w:rPr>
          <w:rFonts w:ascii="Times New Roman" w:hAnsi="Times New Roman"/>
          <w:noProof/>
          <w:sz w:val="24"/>
          <w:szCs w:val="24"/>
        </w:rPr>
        <w:t>. 2011.</w:t>
      </w:r>
    </w:p>
    <w:p w14:paraId="5F3C917D" w14:textId="7E14CAAD" w:rsidR="00993CEB" w:rsidRPr="00993CEB" w:rsidRDefault="00993CEB" w:rsidP="009675E1">
      <w:pPr>
        <w:spacing w:after="120" w:line="360" w:lineRule="auto"/>
        <w:ind w:left="810" w:hanging="540"/>
        <w:jc w:val="both"/>
        <w:rPr>
          <w:rFonts w:ascii="Times New Roman" w:hAnsi="Times New Roman"/>
          <w:sz w:val="24"/>
          <w:szCs w:val="24"/>
          <w:lang w:val="id-ID"/>
        </w:rPr>
      </w:pPr>
      <w:r>
        <w:rPr>
          <w:rFonts w:ascii="Times New Roman" w:hAnsi="Times New Roman"/>
          <w:sz w:val="24"/>
          <w:szCs w:val="24"/>
          <w:lang w:val="id-ID"/>
        </w:rPr>
        <w:fldChar w:fldCharType="end"/>
      </w:r>
    </w:p>
    <w:p w14:paraId="17CA15D1" w14:textId="77777777" w:rsidR="00A24CC1" w:rsidRDefault="00A24CC1" w:rsidP="00A24CC1">
      <w:pPr>
        <w:ind w:right="13"/>
        <w:rPr>
          <w:rFonts w:ascii="Times New Roman" w:hAnsi="Times New Roman"/>
          <w:sz w:val="24"/>
          <w:szCs w:val="24"/>
          <w:lang w:val="id-ID"/>
        </w:rPr>
      </w:pPr>
    </w:p>
    <w:sectPr w:rsidR="00A24CC1" w:rsidSect="00926A59">
      <w:headerReference w:type="first" r:id="rId21"/>
      <w:pgSz w:w="11907" w:h="16840" w:code="9"/>
      <w:pgMar w:top="1134" w:right="1417" w:bottom="1134" w:left="1701" w:header="709" w:footer="709"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A4368" w14:textId="77777777" w:rsidR="006E5A63" w:rsidRDefault="006E5A63" w:rsidP="008A628A">
      <w:pPr>
        <w:spacing w:after="0" w:line="240" w:lineRule="auto"/>
      </w:pPr>
      <w:r>
        <w:separator/>
      </w:r>
    </w:p>
  </w:endnote>
  <w:endnote w:type="continuationSeparator" w:id="0">
    <w:p w14:paraId="57010DB0" w14:textId="77777777" w:rsidR="006E5A63" w:rsidRDefault="006E5A63"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6FDCA" w14:textId="77777777" w:rsidR="006E5A63" w:rsidRDefault="006E5A63" w:rsidP="008A628A">
      <w:pPr>
        <w:spacing w:after="0" w:line="240" w:lineRule="auto"/>
      </w:pPr>
      <w:r>
        <w:separator/>
      </w:r>
    </w:p>
  </w:footnote>
  <w:footnote w:type="continuationSeparator" w:id="0">
    <w:p w14:paraId="419E201D" w14:textId="77777777" w:rsidR="006E5A63" w:rsidRDefault="006E5A63"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91E8" w14:textId="237AB00E" w:rsidR="00FB7CCD" w:rsidRPr="00247988" w:rsidRDefault="00FB7CCD"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FB7CCD" w:rsidRPr="00247988" w:rsidRDefault="00FB7CCD"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FB7CCD" w:rsidRPr="00247988" w:rsidRDefault="00FB7CCD"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3E75C20"/>
    <w:multiLevelType w:val="hybridMultilevel"/>
    <w:tmpl w:val="FC528686"/>
    <w:lvl w:ilvl="0" w:tplc="AE7A2C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4590D05"/>
    <w:multiLevelType w:val="hybridMultilevel"/>
    <w:tmpl w:val="2A263B96"/>
    <w:lvl w:ilvl="0" w:tplc="85D832E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B341DB"/>
    <w:multiLevelType w:val="hybridMultilevel"/>
    <w:tmpl w:val="8594D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B0E06"/>
    <w:multiLevelType w:val="hybridMultilevel"/>
    <w:tmpl w:val="B802A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6463F"/>
    <w:multiLevelType w:val="multilevel"/>
    <w:tmpl w:val="358E082A"/>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0E394E8E"/>
    <w:multiLevelType w:val="hybridMultilevel"/>
    <w:tmpl w:val="80DAC366"/>
    <w:lvl w:ilvl="0" w:tplc="95CC17DA">
      <w:start w:val="1"/>
      <w:numFmt w:val="decimal"/>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A0E2A"/>
    <w:multiLevelType w:val="hybridMultilevel"/>
    <w:tmpl w:val="07E40EF6"/>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D5E96"/>
    <w:multiLevelType w:val="hybridMultilevel"/>
    <w:tmpl w:val="0AB65E3A"/>
    <w:lvl w:ilvl="0" w:tplc="6366CA0A">
      <w:start w:val="1"/>
      <w:numFmt w:val="decimal"/>
      <w:lvlText w:val="%1."/>
      <w:lvlJc w:val="lef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49D5D47"/>
    <w:multiLevelType w:val="hybridMultilevel"/>
    <w:tmpl w:val="B742FEA4"/>
    <w:lvl w:ilvl="0" w:tplc="A4E460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24594"/>
    <w:multiLevelType w:val="hybridMultilevel"/>
    <w:tmpl w:val="DFD0E12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0BD7AAA"/>
    <w:multiLevelType w:val="hybridMultilevel"/>
    <w:tmpl w:val="1858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E2998"/>
    <w:multiLevelType w:val="hybridMultilevel"/>
    <w:tmpl w:val="EF0AE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B0A52"/>
    <w:multiLevelType w:val="hybridMultilevel"/>
    <w:tmpl w:val="1786F3C8"/>
    <w:lvl w:ilvl="0" w:tplc="E0F840D8">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4">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nsid w:val="3B1E237B"/>
    <w:multiLevelType w:val="hybridMultilevel"/>
    <w:tmpl w:val="981CEF0E"/>
    <w:lvl w:ilvl="0" w:tplc="E9308C42">
      <w:start w:val="1"/>
      <w:numFmt w:val="decimal"/>
      <w:lvlText w:val="%1)"/>
      <w:lvlJc w:val="left"/>
      <w:pPr>
        <w:ind w:left="360" w:hanging="360"/>
      </w:pPr>
      <w:rPr>
        <w:rFonts w:hint="default"/>
      </w:rPr>
    </w:lvl>
    <w:lvl w:ilvl="1" w:tplc="B566B26A">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3DEE05A9"/>
    <w:multiLevelType w:val="multilevel"/>
    <w:tmpl w:val="358E082A"/>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41ED6D86"/>
    <w:multiLevelType w:val="hybridMultilevel"/>
    <w:tmpl w:val="B742FEA4"/>
    <w:lvl w:ilvl="0" w:tplc="A4E460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0">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3518AC"/>
    <w:multiLevelType w:val="hybridMultilevel"/>
    <w:tmpl w:val="58F414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07304"/>
    <w:multiLevelType w:val="hybridMultilevel"/>
    <w:tmpl w:val="4A24CEE4"/>
    <w:lvl w:ilvl="0" w:tplc="50C29B9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517C3AC5"/>
    <w:multiLevelType w:val="hybridMultilevel"/>
    <w:tmpl w:val="B6988E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9462BD"/>
    <w:multiLevelType w:val="hybridMultilevel"/>
    <w:tmpl w:val="FE88533E"/>
    <w:lvl w:ilvl="0" w:tplc="FB522080">
      <w:start w:val="1"/>
      <w:numFmt w:val="decimal"/>
      <w:lvlText w:val="[%1]."/>
      <w:lvlJc w:val="left"/>
      <w:pPr>
        <w:ind w:left="927" w:hanging="360"/>
      </w:pPr>
      <w:rPr>
        <w:i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E6266E"/>
    <w:multiLevelType w:val="hybridMultilevel"/>
    <w:tmpl w:val="0E065B76"/>
    <w:lvl w:ilvl="0" w:tplc="A4E44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DC2F43"/>
    <w:multiLevelType w:val="hybridMultilevel"/>
    <w:tmpl w:val="AF9EDE4A"/>
    <w:lvl w:ilvl="0" w:tplc="226CD478">
      <w:start w:val="1"/>
      <w:numFmt w:val="decimal"/>
      <w:lvlText w:val="3.%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9"/>
  </w:num>
  <w:num w:numId="3">
    <w:abstractNumId w:val="42"/>
  </w:num>
  <w:num w:numId="4">
    <w:abstractNumId w:val="20"/>
  </w:num>
  <w:num w:numId="5">
    <w:abstractNumId w:val="25"/>
  </w:num>
  <w:num w:numId="6">
    <w:abstractNumId w:val="16"/>
  </w:num>
  <w:num w:numId="7">
    <w:abstractNumId w:val="12"/>
  </w:num>
  <w:num w:numId="8">
    <w:abstractNumId w:val="17"/>
  </w:num>
  <w:num w:numId="9">
    <w:abstractNumId w:val="30"/>
  </w:num>
  <w:num w:numId="10">
    <w:abstractNumId w:val="35"/>
  </w:num>
  <w:num w:numId="11">
    <w:abstractNumId w:val="41"/>
  </w:num>
  <w:num w:numId="12">
    <w:abstractNumId w:val="18"/>
  </w:num>
  <w:num w:numId="13">
    <w:abstractNumId w:val="29"/>
  </w:num>
  <w:num w:numId="14">
    <w:abstractNumId w:val="6"/>
  </w:num>
  <w:num w:numId="15">
    <w:abstractNumId w:val="40"/>
  </w:num>
  <w:num w:numId="16">
    <w:abstractNumId w:val="37"/>
  </w:num>
  <w:num w:numId="17">
    <w:abstractNumId w:val="32"/>
  </w:num>
  <w:num w:numId="18">
    <w:abstractNumId w:val="24"/>
  </w:num>
  <w:num w:numId="19">
    <w:abstractNumId w:val="0"/>
  </w:num>
  <w:num w:numId="20">
    <w:abstractNumId w:val="1"/>
  </w:num>
  <w:num w:numId="21">
    <w:abstractNumId w:val="9"/>
  </w:num>
  <w:num w:numId="22">
    <w:abstractNumId w:val="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2"/>
  </w:num>
  <w:num w:numId="32">
    <w:abstractNumId w:val="5"/>
  </w:num>
  <w:num w:numId="33">
    <w:abstractNumId w:val="28"/>
  </w:num>
  <w:num w:numId="34">
    <w:abstractNumId w:val="14"/>
  </w:num>
  <w:num w:numId="35">
    <w:abstractNumId w:val="21"/>
  </w:num>
  <w:num w:numId="36">
    <w:abstractNumId w:val="7"/>
  </w:num>
  <w:num w:numId="37">
    <w:abstractNumId w:val="27"/>
  </w:num>
  <w:num w:numId="38">
    <w:abstractNumId w:val="39"/>
  </w:num>
  <w:num w:numId="39">
    <w:abstractNumId w:val="34"/>
  </w:num>
  <w:num w:numId="40">
    <w:abstractNumId w:val="15"/>
  </w:num>
  <w:num w:numId="41">
    <w:abstractNumId w:val="3"/>
  </w:num>
  <w:num w:numId="42">
    <w:abstractNumId w:val="1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0B4F"/>
    <w:rsid w:val="00012A68"/>
    <w:rsid w:val="0001685E"/>
    <w:rsid w:val="00017B78"/>
    <w:rsid w:val="00023E8E"/>
    <w:rsid w:val="00023FA1"/>
    <w:rsid w:val="000243AE"/>
    <w:rsid w:val="00027CC6"/>
    <w:rsid w:val="00030231"/>
    <w:rsid w:val="00031991"/>
    <w:rsid w:val="000325EA"/>
    <w:rsid w:val="00037C90"/>
    <w:rsid w:val="000428B9"/>
    <w:rsid w:val="0004416F"/>
    <w:rsid w:val="00044AB1"/>
    <w:rsid w:val="0005184E"/>
    <w:rsid w:val="00057BB2"/>
    <w:rsid w:val="000648EA"/>
    <w:rsid w:val="00067960"/>
    <w:rsid w:val="000715BC"/>
    <w:rsid w:val="00073C74"/>
    <w:rsid w:val="00074C0C"/>
    <w:rsid w:val="00077652"/>
    <w:rsid w:val="000835FD"/>
    <w:rsid w:val="000910A3"/>
    <w:rsid w:val="00092CA1"/>
    <w:rsid w:val="000953A2"/>
    <w:rsid w:val="00095AB6"/>
    <w:rsid w:val="000A0C40"/>
    <w:rsid w:val="000A42C3"/>
    <w:rsid w:val="000A5A5A"/>
    <w:rsid w:val="000B0E10"/>
    <w:rsid w:val="000B397F"/>
    <w:rsid w:val="000C03B2"/>
    <w:rsid w:val="000C1702"/>
    <w:rsid w:val="000C2CA4"/>
    <w:rsid w:val="000C3DE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C90"/>
    <w:rsid w:val="00106F8D"/>
    <w:rsid w:val="0011013E"/>
    <w:rsid w:val="001110B1"/>
    <w:rsid w:val="001123C4"/>
    <w:rsid w:val="0011369F"/>
    <w:rsid w:val="001147A9"/>
    <w:rsid w:val="00117E72"/>
    <w:rsid w:val="00123283"/>
    <w:rsid w:val="00124E99"/>
    <w:rsid w:val="0013704F"/>
    <w:rsid w:val="001404A9"/>
    <w:rsid w:val="001415C1"/>
    <w:rsid w:val="0014167A"/>
    <w:rsid w:val="00141FBD"/>
    <w:rsid w:val="0015252A"/>
    <w:rsid w:val="00152594"/>
    <w:rsid w:val="00153DF1"/>
    <w:rsid w:val="0015481F"/>
    <w:rsid w:val="00155E5F"/>
    <w:rsid w:val="00166152"/>
    <w:rsid w:val="001665BA"/>
    <w:rsid w:val="00167CE7"/>
    <w:rsid w:val="00173DE6"/>
    <w:rsid w:val="0017762E"/>
    <w:rsid w:val="001778B3"/>
    <w:rsid w:val="00181E04"/>
    <w:rsid w:val="0018348C"/>
    <w:rsid w:val="00187BC8"/>
    <w:rsid w:val="00187EDA"/>
    <w:rsid w:val="001945E6"/>
    <w:rsid w:val="001956C8"/>
    <w:rsid w:val="0019572A"/>
    <w:rsid w:val="00197877"/>
    <w:rsid w:val="001A0B78"/>
    <w:rsid w:val="001B3B45"/>
    <w:rsid w:val="001B3D15"/>
    <w:rsid w:val="001B76D7"/>
    <w:rsid w:val="001C6285"/>
    <w:rsid w:val="001D0448"/>
    <w:rsid w:val="001D17DD"/>
    <w:rsid w:val="001D3032"/>
    <w:rsid w:val="001D3BD2"/>
    <w:rsid w:val="001D5072"/>
    <w:rsid w:val="001D6A44"/>
    <w:rsid w:val="001E02F8"/>
    <w:rsid w:val="001E430C"/>
    <w:rsid w:val="001E5CAB"/>
    <w:rsid w:val="001F1E3E"/>
    <w:rsid w:val="001F558E"/>
    <w:rsid w:val="001F5FB1"/>
    <w:rsid w:val="00201DF5"/>
    <w:rsid w:val="0020574F"/>
    <w:rsid w:val="0021082D"/>
    <w:rsid w:val="00211703"/>
    <w:rsid w:val="00217E47"/>
    <w:rsid w:val="00220A1C"/>
    <w:rsid w:val="00224343"/>
    <w:rsid w:val="0022499D"/>
    <w:rsid w:val="00230F87"/>
    <w:rsid w:val="00232A53"/>
    <w:rsid w:val="00241B9D"/>
    <w:rsid w:val="00242596"/>
    <w:rsid w:val="0024350E"/>
    <w:rsid w:val="00244AAA"/>
    <w:rsid w:val="002468BE"/>
    <w:rsid w:val="00247988"/>
    <w:rsid w:val="002504E0"/>
    <w:rsid w:val="00250FBC"/>
    <w:rsid w:val="00253CEF"/>
    <w:rsid w:val="00255FDD"/>
    <w:rsid w:val="002567F7"/>
    <w:rsid w:val="00265813"/>
    <w:rsid w:val="0026757D"/>
    <w:rsid w:val="00276E7F"/>
    <w:rsid w:val="00277A2A"/>
    <w:rsid w:val="002818A3"/>
    <w:rsid w:val="00285194"/>
    <w:rsid w:val="00290CB5"/>
    <w:rsid w:val="00294336"/>
    <w:rsid w:val="002952A5"/>
    <w:rsid w:val="002A27ED"/>
    <w:rsid w:val="002A5FC5"/>
    <w:rsid w:val="002A60E7"/>
    <w:rsid w:val="002A60F6"/>
    <w:rsid w:val="002B04E8"/>
    <w:rsid w:val="002B11CC"/>
    <w:rsid w:val="002B59FF"/>
    <w:rsid w:val="002C00A0"/>
    <w:rsid w:val="002C14B2"/>
    <w:rsid w:val="002C15DA"/>
    <w:rsid w:val="002C5289"/>
    <w:rsid w:val="002C59C6"/>
    <w:rsid w:val="002D40BA"/>
    <w:rsid w:val="002D4B4F"/>
    <w:rsid w:val="002D525C"/>
    <w:rsid w:val="002D6102"/>
    <w:rsid w:val="002D6367"/>
    <w:rsid w:val="002D7237"/>
    <w:rsid w:val="002E45EF"/>
    <w:rsid w:val="002E79F4"/>
    <w:rsid w:val="002F24B2"/>
    <w:rsid w:val="002F300C"/>
    <w:rsid w:val="002F55F8"/>
    <w:rsid w:val="002F598B"/>
    <w:rsid w:val="002F5EDF"/>
    <w:rsid w:val="002F6D31"/>
    <w:rsid w:val="002F77AF"/>
    <w:rsid w:val="00301EDC"/>
    <w:rsid w:val="00301EE5"/>
    <w:rsid w:val="00305812"/>
    <w:rsid w:val="00312173"/>
    <w:rsid w:val="003142E1"/>
    <w:rsid w:val="00317771"/>
    <w:rsid w:val="0032363A"/>
    <w:rsid w:val="003266D1"/>
    <w:rsid w:val="0032742A"/>
    <w:rsid w:val="0033656B"/>
    <w:rsid w:val="00350971"/>
    <w:rsid w:val="00350C24"/>
    <w:rsid w:val="003519D6"/>
    <w:rsid w:val="003536E1"/>
    <w:rsid w:val="0035442A"/>
    <w:rsid w:val="00356AA1"/>
    <w:rsid w:val="0035799E"/>
    <w:rsid w:val="00360EA2"/>
    <w:rsid w:val="0036318A"/>
    <w:rsid w:val="003638AB"/>
    <w:rsid w:val="00372BE9"/>
    <w:rsid w:val="003775E0"/>
    <w:rsid w:val="00380591"/>
    <w:rsid w:val="003815A3"/>
    <w:rsid w:val="00387E1F"/>
    <w:rsid w:val="0039158F"/>
    <w:rsid w:val="0039199C"/>
    <w:rsid w:val="003952E2"/>
    <w:rsid w:val="003A0385"/>
    <w:rsid w:val="003A1518"/>
    <w:rsid w:val="003A49C3"/>
    <w:rsid w:val="003A4E11"/>
    <w:rsid w:val="003B6BA5"/>
    <w:rsid w:val="003C2698"/>
    <w:rsid w:val="003C7BE0"/>
    <w:rsid w:val="003D4D07"/>
    <w:rsid w:val="003D5D94"/>
    <w:rsid w:val="003D7A5A"/>
    <w:rsid w:val="003E7845"/>
    <w:rsid w:val="003E7915"/>
    <w:rsid w:val="003E7DF4"/>
    <w:rsid w:val="003F05D7"/>
    <w:rsid w:val="003F22D6"/>
    <w:rsid w:val="003F3A95"/>
    <w:rsid w:val="003F64DC"/>
    <w:rsid w:val="00402AE2"/>
    <w:rsid w:val="004069D5"/>
    <w:rsid w:val="00406AF6"/>
    <w:rsid w:val="0041064C"/>
    <w:rsid w:val="0041194B"/>
    <w:rsid w:val="0041331C"/>
    <w:rsid w:val="00416DBF"/>
    <w:rsid w:val="00422900"/>
    <w:rsid w:val="00422ABF"/>
    <w:rsid w:val="00422D5B"/>
    <w:rsid w:val="00423059"/>
    <w:rsid w:val="00425348"/>
    <w:rsid w:val="004255D9"/>
    <w:rsid w:val="00425DBF"/>
    <w:rsid w:val="004271C6"/>
    <w:rsid w:val="0043141C"/>
    <w:rsid w:val="0043149A"/>
    <w:rsid w:val="00431DDA"/>
    <w:rsid w:val="00435329"/>
    <w:rsid w:val="004362AB"/>
    <w:rsid w:val="004368C2"/>
    <w:rsid w:val="00441480"/>
    <w:rsid w:val="00442C42"/>
    <w:rsid w:val="004434F6"/>
    <w:rsid w:val="004435BE"/>
    <w:rsid w:val="00447202"/>
    <w:rsid w:val="00447B4C"/>
    <w:rsid w:val="00453D56"/>
    <w:rsid w:val="00455B5C"/>
    <w:rsid w:val="00456508"/>
    <w:rsid w:val="004575E7"/>
    <w:rsid w:val="0046003B"/>
    <w:rsid w:val="00462843"/>
    <w:rsid w:val="0046298C"/>
    <w:rsid w:val="0047055A"/>
    <w:rsid w:val="00471121"/>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A5576"/>
    <w:rsid w:val="004A6833"/>
    <w:rsid w:val="004B17DE"/>
    <w:rsid w:val="004B3673"/>
    <w:rsid w:val="004B7532"/>
    <w:rsid w:val="004C0FA3"/>
    <w:rsid w:val="004C26CD"/>
    <w:rsid w:val="004C2BC3"/>
    <w:rsid w:val="004C3700"/>
    <w:rsid w:val="004C3D2E"/>
    <w:rsid w:val="004C3EC9"/>
    <w:rsid w:val="004D1650"/>
    <w:rsid w:val="004D170F"/>
    <w:rsid w:val="004D4CB7"/>
    <w:rsid w:val="004E0D37"/>
    <w:rsid w:val="004E32F6"/>
    <w:rsid w:val="004E385E"/>
    <w:rsid w:val="004E4282"/>
    <w:rsid w:val="004F1C31"/>
    <w:rsid w:val="004F3A8E"/>
    <w:rsid w:val="004F4206"/>
    <w:rsid w:val="004F62B9"/>
    <w:rsid w:val="004F790C"/>
    <w:rsid w:val="004F7A93"/>
    <w:rsid w:val="00500729"/>
    <w:rsid w:val="00505654"/>
    <w:rsid w:val="0050592F"/>
    <w:rsid w:val="00506D9E"/>
    <w:rsid w:val="00517687"/>
    <w:rsid w:val="00522F4A"/>
    <w:rsid w:val="0052692C"/>
    <w:rsid w:val="005317C1"/>
    <w:rsid w:val="005356B9"/>
    <w:rsid w:val="00536BF3"/>
    <w:rsid w:val="005424FB"/>
    <w:rsid w:val="00544A0C"/>
    <w:rsid w:val="005462C9"/>
    <w:rsid w:val="005473E2"/>
    <w:rsid w:val="00550289"/>
    <w:rsid w:val="005512BB"/>
    <w:rsid w:val="005626D5"/>
    <w:rsid w:val="00562716"/>
    <w:rsid w:val="00562DB8"/>
    <w:rsid w:val="00563110"/>
    <w:rsid w:val="00567B86"/>
    <w:rsid w:val="00572A71"/>
    <w:rsid w:val="00575461"/>
    <w:rsid w:val="0057663B"/>
    <w:rsid w:val="00582F12"/>
    <w:rsid w:val="00585BE9"/>
    <w:rsid w:val="00586583"/>
    <w:rsid w:val="00587AEC"/>
    <w:rsid w:val="005900A1"/>
    <w:rsid w:val="0059211D"/>
    <w:rsid w:val="00593273"/>
    <w:rsid w:val="0059364C"/>
    <w:rsid w:val="005A1ABF"/>
    <w:rsid w:val="005A44EE"/>
    <w:rsid w:val="005A46F8"/>
    <w:rsid w:val="005A5E49"/>
    <w:rsid w:val="005A66AF"/>
    <w:rsid w:val="005B290D"/>
    <w:rsid w:val="005B2B53"/>
    <w:rsid w:val="005B38F4"/>
    <w:rsid w:val="005B4B23"/>
    <w:rsid w:val="005C172B"/>
    <w:rsid w:val="005C2D51"/>
    <w:rsid w:val="005C386E"/>
    <w:rsid w:val="005C44AA"/>
    <w:rsid w:val="005C7592"/>
    <w:rsid w:val="005D2DB3"/>
    <w:rsid w:val="005D3AB6"/>
    <w:rsid w:val="005E08E0"/>
    <w:rsid w:val="005E38D6"/>
    <w:rsid w:val="005E63C5"/>
    <w:rsid w:val="005E742A"/>
    <w:rsid w:val="005E766D"/>
    <w:rsid w:val="005F0CC1"/>
    <w:rsid w:val="005F2AB5"/>
    <w:rsid w:val="005F5FFC"/>
    <w:rsid w:val="00603CAF"/>
    <w:rsid w:val="0061236B"/>
    <w:rsid w:val="006149A8"/>
    <w:rsid w:val="00614E87"/>
    <w:rsid w:val="006205F6"/>
    <w:rsid w:val="0062211C"/>
    <w:rsid w:val="00622569"/>
    <w:rsid w:val="00622B90"/>
    <w:rsid w:val="0062438C"/>
    <w:rsid w:val="006359A6"/>
    <w:rsid w:val="00635AD7"/>
    <w:rsid w:val="006428DB"/>
    <w:rsid w:val="00644EA4"/>
    <w:rsid w:val="0064577F"/>
    <w:rsid w:val="00651FBD"/>
    <w:rsid w:val="00652C65"/>
    <w:rsid w:val="00656766"/>
    <w:rsid w:val="00662986"/>
    <w:rsid w:val="0066582A"/>
    <w:rsid w:val="00670057"/>
    <w:rsid w:val="006707CF"/>
    <w:rsid w:val="00673B81"/>
    <w:rsid w:val="00673C9A"/>
    <w:rsid w:val="0067589A"/>
    <w:rsid w:val="006771A2"/>
    <w:rsid w:val="0068175C"/>
    <w:rsid w:val="00684CCC"/>
    <w:rsid w:val="006876CC"/>
    <w:rsid w:val="00690144"/>
    <w:rsid w:val="00691476"/>
    <w:rsid w:val="0069179F"/>
    <w:rsid w:val="00694CB8"/>
    <w:rsid w:val="006961BA"/>
    <w:rsid w:val="0069646C"/>
    <w:rsid w:val="006A311C"/>
    <w:rsid w:val="006A7B62"/>
    <w:rsid w:val="006B0FDB"/>
    <w:rsid w:val="006B2CFF"/>
    <w:rsid w:val="006B6D49"/>
    <w:rsid w:val="006C1464"/>
    <w:rsid w:val="006C46C8"/>
    <w:rsid w:val="006C54B0"/>
    <w:rsid w:val="006C5984"/>
    <w:rsid w:val="006C7EC6"/>
    <w:rsid w:val="006D3F62"/>
    <w:rsid w:val="006D40A5"/>
    <w:rsid w:val="006D5CAC"/>
    <w:rsid w:val="006E068D"/>
    <w:rsid w:val="006E4D8C"/>
    <w:rsid w:val="006E5A63"/>
    <w:rsid w:val="006F32A1"/>
    <w:rsid w:val="006F379C"/>
    <w:rsid w:val="006F6824"/>
    <w:rsid w:val="006F6D3B"/>
    <w:rsid w:val="00700363"/>
    <w:rsid w:val="00701A1B"/>
    <w:rsid w:val="0070445D"/>
    <w:rsid w:val="00705D90"/>
    <w:rsid w:val="00712194"/>
    <w:rsid w:val="00713D5E"/>
    <w:rsid w:val="007142D6"/>
    <w:rsid w:val="00715C28"/>
    <w:rsid w:val="0072304F"/>
    <w:rsid w:val="00723175"/>
    <w:rsid w:val="007255DB"/>
    <w:rsid w:val="00743DF2"/>
    <w:rsid w:val="007446B9"/>
    <w:rsid w:val="0075143D"/>
    <w:rsid w:val="007551EE"/>
    <w:rsid w:val="007560B0"/>
    <w:rsid w:val="00756EB3"/>
    <w:rsid w:val="00757C89"/>
    <w:rsid w:val="00760DDD"/>
    <w:rsid w:val="00764730"/>
    <w:rsid w:val="007648E8"/>
    <w:rsid w:val="0076647A"/>
    <w:rsid w:val="00766FFE"/>
    <w:rsid w:val="0077021E"/>
    <w:rsid w:val="00770780"/>
    <w:rsid w:val="007708FA"/>
    <w:rsid w:val="00774AFF"/>
    <w:rsid w:val="0077518B"/>
    <w:rsid w:val="00775257"/>
    <w:rsid w:val="00777AB5"/>
    <w:rsid w:val="00782154"/>
    <w:rsid w:val="00783638"/>
    <w:rsid w:val="007850B1"/>
    <w:rsid w:val="007874FE"/>
    <w:rsid w:val="00794B2E"/>
    <w:rsid w:val="00795252"/>
    <w:rsid w:val="00796772"/>
    <w:rsid w:val="00796777"/>
    <w:rsid w:val="007A1300"/>
    <w:rsid w:val="007A408A"/>
    <w:rsid w:val="007A49B2"/>
    <w:rsid w:val="007A5A32"/>
    <w:rsid w:val="007A60D7"/>
    <w:rsid w:val="007A7A7C"/>
    <w:rsid w:val="007B063F"/>
    <w:rsid w:val="007B0B7A"/>
    <w:rsid w:val="007B2CFB"/>
    <w:rsid w:val="007B72BC"/>
    <w:rsid w:val="007C2C60"/>
    <w:rsid w:val="007C421B"/>
    <w:rsid w:val="007C4674"/>
    <w:rsid w:val="007D344A"/>
    <w:rsid w:val="007D4971"/>
    <w:rsid w:val="007D56A2"/>
    <w:rsid w:val="007E00E5"/>
    <w:rsid w:val="007E076D"/>
    <w:rsid w:val="007E5C35"/>
    <w:rsid w:val="007E76D7"/>
    <w:rsid w:val="007F012F"/>
    <w:rsid w:val="007F152F"/>
    <w:rsid w:val="007F17C5"/>
    <w:rsid w:val="007F18DF"/>
    <w:rsid w:val="007F4206"/>
    <w:rsid w:val="007F44AA"/>
    <w:rsid w:val="007F4B5B"/>
    <w:rsid w:val="007F546E"/>
    <w:rsid w:val="007F57E3"/>
    <w:rsid w:val="007F650F"/>
    <w:rsid w:val="007F7286"/>
    <w:rsid w:val="008002B5"/>
    <w:rsid w:val="0080394D"/>
    <w:rsid w:val="008132BF"/>
    <w:rsid w:val="00815F4B"/>
    <w:rsid w:val="008165F7"/>
    <w:rsid w:val="00816717"/>
    <w:rsid w:val="0082319B"/>
    <w:rsid w:val="008232E8"/>
    <w:rsid w:val="00824EE8"/>
    <w:rsid w:val="00825799"/>
    <w:rsid w:val="00825B24"/>
    <w:rsid w:val="00832A06"/>
    <w:rsid w:val="0083458D"/>
    <w:rsid w:val="00834A7F"/>
    <w:rsid w:val="00836BA2"/>
    <w:rsid w:val="00840C2B"/>
    <w:rsid w:val="0084233E"/>
    <w:rsid w:val="00842FAE"/>
    <w:rsid w:val="00843340"/>
    <w:rsid w:val="00844445"/>
    <w:rsid w:val="00847325"/>
    <w:rsid w:val="00851C71"/>
    <w:rsid w:val="008542AA"/>
    <w:rsid w:val="00856E87"/>
    <w:rsid w:val="00864CF2"/>
    <w:rsid w:val="00867A6D"/>
    <w:rsid w:val="00870C9D"/>
    <w:rsid w:val="00871494"/>
    <w:rsid w:val="0087506F"/>
    <w:rsid w:val="008823ED"/>
    <w:rsid w:val="0088408F"/>
    <w:rsid w:val="008845FE"/>
    <w:rsid w:val="00886F47"/>
    <w:rsid w:val="00887E92"/>
    <w:rsid w:val="00894E08"/>
    <w:rsid w:val="0089669C"/>
    <w:rsid w:val="008A1008"/>
    <w:rsid w:val="008A10CC"/>
    <w:rsid w:val="008A1BCC"/>
    <w:rsid w:val="008A5941"/>
    <w:rsid w:val="008A628A"/>
    <w:rsid w:val="008A67D6"/>
    <w:rsid w:val="008B0CCC"/>
    <w:rsid w:val="008B189E"/>
    <w:rsid w:val="008B1BB8"/>
    <w:rsid w:val="008B3C7F"/>
    <w:rsid w:val="008B4889"/>
    <w:rsid w:val="008B68A6"/>
    <w:rsid w:val="008C0B86"/>
    <w:rsid w:val="008C0FF2"/>
    <w:rsid w:val="008C1948"/>
    <w:rsid w:val="008C350D"/>
    <w:rsid w:val="008C3876"/>
    <w:rsid w:val="008C587E"/>
    <w:rsid w:val="008C7201"/>
    <w:rsid w:val="008D4BEE"/>
    <w:rsid w:val="008D4DC7"/>
    <w:rsid w:val="008D5E9E"/>
    <w:rsid w:val="008D5EE7"/>
    <w:rsid w:val="008E017B"/>
    <w:rsid w:val="008E35BC"/>
    <w:rsid w:val="008E35FD"/>
    <w:rsid w:val="008F2906"/>
    <w:rsid w:val="008F2C1D"/>
    <w:rsid w:val="008F2F6B"/>
    <w:rsid w:val="008F745F"/>
    <w:rsid w:val="008F7A90"/>
    <w:rsid w:val="00901318"/>
    <w:rsid w:val="00902E3D"/>
    <w:rsid w:val="00904298"/>
    <w:rsid w:val="00907AF0"/>
    <w:rsid w:val="0091254C"/>
    <w:rsid w:val="00913F78"/>
    <w:rsid w:val="00914BEE"/>
    <w:rsid w:val="009200B0"/>
    <w:rsid w:val="00920A9D"/>
    <w:rsid w:val="00924F91"/>
    <w:rsid w:val="00925ABD"/>
    <w:rsid w:val="00926A59"/>
    <w:rsid w:val="00926F4B"/>
    <w:rsid w:val="00927195"/>
    <w:rsid w:val="009306FE"/>
    <w:rsid w:val="00931E54"/>
    <w:rsid w:val="00936935"/>
    <w:rsid w:val="009400EA"/>
    <w:rsid w:val="009420D4"/>
    <w:rsid w:val="00945BC3"/>
    <w:rsid w:val="0094611E"/>
    <w:rsid w:val="009466FC"/>
    <w:rsid w:val="00952BEB"/>
    <w:rsid w:val="009541A8"/>
    <w:rsid w:val="00955205"/>
    <w:rsid w:val="00957415"/>
    <w:rsid w:val="00960605"/>
    <w:rsid w:val="009675E1"/>
    <w:rsid w:val="00967DF5"/>
    <w:rsid w:val="0097147F"/>
    <w:rsid w:val="0097734B"/>
    <w:rsid w:val="00977856"/>
    <w:rsid w:val="00985DF3"/>
    <w:rsid w:val="009914B8"/>
    <w:rsid w:val="00992F92"/>
    <w:rsid w:val="009939F5"/>
    <w:rsid w:val="00993CEB"/>
    <w:rsid w:val="00997C51"/>
    <w:rsid w:val="009A0A16"/>
    <w:rsid w:val="009A0BCE"/>
    <w:rsid w:val="009A13C6"/>
    <w:rsid w:val="009A203A"/>
    <w:rsid w:val="009A2259"/>
    <w:rsid w:val="009A2304"/>
    <w:rsid w:val="009A7AF2"/>
    <w:rsid w:val="009B131C"/>
    <w:rsid w:val="009B3F58"/>
    <w:rsid w:val="009B4133"/>
    <w:rsid w:val="009B70CE"/>
    <w:rsid w:val="009C0D49"/>
    <w:rsid w:val="009C1C73"/>
    <w:rsid w:val="009C46B6"/>
    <w:rsid w:val="009C794A"/>
    <w:rsid w:val="009D44D4"/>
    <w:rsid w:val="009D5D9E"/>
    <w:rsid w:val="009E3DC8"/>
    <w:rsid w:val="009E473C"/>
    <w:rsid w:val="009E5411"/>
    <w:rsid w:val="009F0132"/>
    <w:rsid w:val="009F130D"/>
    <w:rsid w:val="009F13CB"/>
    <w:rsid w:val="009F18F8"/>
    <w:rsid w:val="009F21FE"/>
    <w:rsid w:val="009F4887"/>
    <w:rsid w:val="009F7AE6"/>
    <w:rsid w:val="00A0167F"/>
    <w:rsid w:val="00A03FD5"/>
    <w:rsid w:val="00A05C50"/>
    <w:rsid w:val="00A10180"/>
    <w:rsid w:val="00A119D9"/>
    <w:rsid w:val="00A12CEF"/>
    <w:rsid w:val="00A15038"/>
    <w:rsid w:val="00A152FD"/>
    <w:rsid w:val="00A17AD0"/>
    <w:rsid w:val="00A20B46"/>
    <w:rsid w:val="00A226BB"/>
    <w:rsid w:val="00A24CC1"/>
    <w:rsid w:val="00A302CF"/>
    <w:rsid w:val="00A35DAD"/>
    <w:rsid w:val="00A40478"/>
    <w:rsid w:val="00A40CAD"/>
    <w:rsid w:val="00A43ACD"/>
    <w:rsid w:val="00A52725"/>
    <w:rsid w:val="00A565D8"/>
    <w:rsid w:val="00A57B4E"/>
    <w:rsid w:val="00A6136B"/>
    <w:rsid w:val="00A62B79"/>
    <w:rsid w:val="00A652D9"/>
    <w:rsid w:val="00A676CE"/>
    <w:rsid w:val="00A70B0A"/>
    <w:rsid w:val="00A725F6"/>
    <w:rsid w:val="00A74F92"/>
    <w:rsid w:val="00A82040"/>
    <w:rsid w:val="00A86528"/>
    <w:rsid w:val="00A86772"/>
    <w:rsid w:val="00A8692E"/>
    <w:rsid w:val="00A870E3"/>
    <w:rsid w:val="00A913B2"/>
    <w:rsid w:val="00A92471"/>
    <w:rsid w:val="00A9727D"/>
    <w:rsid w:val="00AA7911"/>
    <w:rsid w:val="00AB0624"/>
    <w:rsid w:val="00AB0A02"/>
    <w:rsid w:val="00AB178D"/>
    <w:rsid w:val="00AB459A"/>
    <w:rsid w:val="00AB4C8E"/>
    <w:rsid w:val="00AB6CB1"/>
    <w:rsid w:val="00AC002F"/>
    <w:rsid w:val="00AC0084"/>
    <w:rsid w:val="00AC28C9"/>
    <w:rsid w:val="00AC3150"/>
    <w:rsid w:val="00AC3274"/>
    <w:rsid w:val="00AD18E8"/>
    <w:rsid w:val="00AD484F"/>
    <w:rsid w:val="00AD4ED1"/>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11E4"/>
    <w:rsid w:val="00B227A8"/>
    <w:rsid w:val="00B25620"/>
    <w:rsid w:val="00B272F2"/>
    <w:rsid w:val="00B27D9B"/>
    <w:rsid w:val="00B33DA7"/>
    <w:rsid w:val="00B34009"/>
    <w:rsid w:val="00B35C75"/>
    <w:rsid w:val="00B375B9"/>
    <w:rsid w:val="00B40D40"/>
    <w:rsid w:val="00B42CC1"/>
    <w:rsid w:val="00B4691B"/>
    <w:rsid w:val="00B50390"/>
    <w:rsid w:val="00B55434"/>
    <w:rsid w:val="00B5690F"/>
    <w:rsid w:val="00B60223"/>
    <w:rsid w:val="00B60380"/>
    <w:rsid w:val="00B61507"/>
    <w:rsid w:val="00B623A3"/>
    <w:rsid w:val="00B6283D"/>
    <w:rsid w:val="00B62A7A"/>
    <w:rsid w:val="00B63734"/>
    <w:rsid w:val="00B63C5D"/>
    <w:rsid w:val="00B65D8E"/>
    <w:rsid w:val="00B71C75"/>
    <w:rsid w:val="00B736B1"/>
    <w:rsid w:val="00B73995"/>
    <w:rsid w:val="00B800D9"/>
    <w:rsid w:val="00B85E48"/>
    <w:rsid w:val="00B87AEE"/>
    <w:rsid w:val="00B90EBB"/>
    <w:rsid w:val="00B92E85"/>
    <w:rsid w:val="00B972A9"/>
    <w:rsid w:val="00B97686"/>
    <w:rsid w:val="00B976BA"/>
    <w:rsid w:val="00B97706"/>
    <w:rsid w:val="00BA1874"/>
    <w:rsid w:val="00BA705C"/>
    <w:rsid w:val="00BB0214"/>
    <w:rsid w:val="00BB209C"/>
    <w:rsid w:val="00BB5DE5"/>
    <w:rsid w:val="00BB5E7E"/>
    <w:rsid w:val="00BB6C74"/>
    <w:rsid w:val="00BB6C7F"/>
    <w:rsid w:val="00BC1545"/>
    <w:rsid w:val="00BC29DE"/>
    <w:rsid w:val="00BC2B19"/>
    <w:rsid w:val="00BC409A"/>
    <w:rsid w:val="00BC433D"/>
    <w:rsid w:val="00BC58B7"/>
    <w:rsid w:val="00BC5D23"/>
    <w:rsid w:val="00BC62FC"/>
    <w:rsid w:val="00BC648A"/>
    <w:rsid w:val="00BC7369"/>
    <w:rsid w:val="00BD0631"/>
    <w:rsid w:val="00BD06B7"/>
    <w:rsid w:val="00BD138E"/>
    <w:rsid w:val="00BD1A3E"/>
    <w:rsid w:val="00BD29B3"/>
    <w:rsid w:val="00BD5700"/>
    <w:rsid w:val="00BD63DD"/>
    <w:rsid w:val="00BE1AE4"/>
    <w:rsid w:val="00BE4A3C"/>
    <w:rsid w:val="00BE4EDB"/>
    <w:rsid w:val="00BE56B3"/>
    <w:rsid w:val="00BF0B0F"/>
    <w:rsid w:val="00BF1014"/>
    <w:rsid w:val="00BF1267"/>
    <w:rsid w:val="00BF28BE"/>
    <w:rsid w:val="00C0529B"/>
    <w:rsid w:val="00C13B20"/>
    <w:rsid w:val="00C14C7E"/>
    <w:rsid w:val="00C176C5"/>
    <w:rsid w:val="00C20ED3"/>
    <w:rsid w:val="00C210D4"/>
    <w:rsid w:val="00C2280A"/>
    <w:rsid w:val="00C239C2"/>
    <w:rsid w:val="00C30D36"/>
    <w:rsid w:val="00C31712"/>
    <w:rsid w:val="00C36297"/>
    <w:rsid w:val="00C36CFC"/>
    <w:rsid w:val="00C373BF"/>
    <w:rsid w:val="00C449C6"/>
    <w:rsid w:val="00C52C59"/>
    <w:rsid w:val="00C57C59"/>
    <w:rsid w:val="00C607CA"/>
    <w:rsid w:val="00C63F36"/>
    <w:rsid w:val="00C646A8"/>
    <w:rsid w:val="00C72113"/>
    <w:rsid w:val="00C72B11"/>
    <w:rsid w:val="00C72B43"/>
    <w:rsid w:val="00C73DA1"/>
    <w:rsid w:val="00C74C66"/>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C0867"/>
    <w:rsid w:val="00CC0F51"/>
    <w:rsid w:val="00CC1689"/>
    <w:rsid w:val="00CC326D"/>
    <w:rsid w:val="00CC7BE2"/>
    <w:rsid w:val="00CD0256"/>
    <w:rsid w:val="00CD61C7"/>
    <w:rsid w:val="00CD7A44"/>
    <w:rsid w:val="00CE0A4F"/>
    <w:rsid w:val="00CE311C"/>
    <w:rsid w:val="00CE44A0"/>
    <w:rsid w:val="00CE55ED"/>
    <w:rsid w:val="00CE5DDA"/>
    <w:rsid w:val="00CE67E6"/>
    <w:rsid w:val="00CE70C8"/>
    <w:rsid w:val="00CF48AD"/>
    <w:rsid w:val="00CF6A22"/>
    <w:rsid w:val="00D00493"/>
    <w:rsid w:val="00D01E04"/>
    <w:rsid w:val="00D06D65"/>
    <w:rsid w:val="00D10563"/>
    <w:rsid w:val="00D15513"/>
    <w:rsid w:val="00D20226"/>
    <w:rsid w:val="00D20955"/>
    <w:rsid w:val="00D22A69"/>
    <w:rsid w:val="00D24192"/>
    <w:rsid w:val="00D26B3F"/>
    <w:rsid w:val="00D32204"/>
    <w:rsid w:val="00D402D5"/>
    <w:rsid w:val="00D40F7D"/>
    <w:rsid w:val="00D46526"/>
    <w:rsid w:val="00D46CA7"/>
    <w:rsid w:val="00D47635"/>
    <w:rsid w:val="00D477D6"/>
    <w:rsid w:val="00D5689D"/>
    <w:rsid w:val="00D568E2"/>
    <w:rsid w:val="00D60371"/>
    <w:rsid w:val="00D6259A"/>
    <w:rsid w:val="00D65DE4"/>
    <w:rsid w:val="00D6680D"/>
    <w:rsid w:val="00D7031B"/>
    <w:rsid w:val="00D74493"/>
    <w:rsid w:val="00D8122E"/>
    <w:rsid w:val="00D814D4"/>
    <w:rsid w:val="00D8182D"/>
    <w:rsid w:val="00D8325E"/>
    <w:rsid w:val="00D83648"/>
    <w:rsid w:val="00D84FD0"/>
    <w:rsid w:val="00D91E8A"/>
    <w:rsid w:val="00D95FA7"/>
    <w:rsid w:val="00D96208"/>
    <w:rsid w:val="00D97A6D"/>
    <w:rsid w:val="00DA0426"/>
    <w:rsid w:val="00DA0834"/>
    <w:rsid w:val="00DA14CF"/>
    <w:rsid w:val="00DA5463"/>
    <w:rsid w:val="00DA710F"/>
    <w:rsid w:val="00DB144E"/>
    <w:rsid w:val="00DB2A04"/>
    <w:rsid w:val="00DB6E65"/>
    <w:rsid w:val="00DD0C00"/>
    <w:rsid w:val="00DD1247"/>
    <w:rsid w:val="00DD1A0D"/>
    <w:rsid w:val="00DD1A65"/>
    <w:rsid w:val="00DD2308"/>
    <w:rsid w:val="00DD237A"/>
    <w:rsid w:val="00DE0E00"/>
    <w:rsid w:val="00DE2811"/>
    <w:rsid w:val="00DE3200"/>
    <w:rsid w:val="00DE3495"/>
    <w:rsid w:val="00DE363C"/>
    <w:rsid w:val="00DE47B0"/>
    <w:rsid w:val="00DE6A53"/>
    <w:rsid w:val="00DF0FBB"/>
    <w:rsid w:val="00DF2AAC"/>
    <w:rsid w:val="00E01F3D"/>
    <w:rsid w:val="00E04BE9"/>
    <w:rsid w:val="00E056E6"/>
    <w:rsid w:val="00E1020A"/>
    <w:rsid w:val="00E1377D"/>
    <w:rsid w:val="00E1420A"/>
    <w:rsid w:val="00E27A29"/>
    <w:rsid w:val="00E310B1"/>
    <w:rsid w:val="00E32902"/>
    <w:rsid w:val="00E343C6"/>
    <w:rsid w:val="00E35F8F"/>
    <w:rsid w:val="00E371C9"/>
    <w:rsid w:val="00E41DD0"/>
    <w:rsid w:val="00E42F84"/>
    <w:rsid w:val="00E45C33"/>
    <w:rsid w:val="00E61464"/>
    <w:rsid w:val="00E65646"/>
    <w:rsid w:val="00E66C1A"/>
    <w:rsid w:val="00E71B8E"/>
    <w:rsid w:val="00E72B34"/>
    <w:rsid w:val="00E73490"/>
    <w:rsid w:val="00E73FAA"/>
    <w:rsid w:val="00E7451E"/>
    <w:rsid w:val="00E76850"/>
    <w:rsid w:val="00E9278D"/>
    <w:rsid w:val="00EA1EC0"/>
    <w:rsid w:val="00EA35F0"/>
    <w:rsid w:val="00EA4C17"/>
    <w:rsid w:val="00EA5462"/>
    <w:rsid w:val="00EA612A"/>
    <w:rsid w:val="00EA64A9"/>
    <w:rsid w:val="00EA65D6"/>
    <w:rsid w:val="00EB0B2D"/>
    <w:rsid w:val="00EB36A5"/>
    <w:rsid w:val="00EB444E"/>
    <w:rsid w:val="00EC2389"/>
    <w:rsid w:val="00EC31E0"/>
    <w:rsid w:val="00EC56DF"/>
    <w:rsid w:val="00EC71BC"/>
    <w:rsid w:val="00EC74FB"/>
    <w:rsid w:val="00ED3D29"/>
    <w:rsid w:val="00ED5C8B"/>
    <w:rsid w:val="00EE031B"/>
    <w:rsid w:val="00EE246F"/>
    <w:rsid w:val="00EE70F0"/>
    <w:rsid w:val="00EE7F65"/>
    <w:rsid w:val="00EF4A2C"/>
    <w:rsid w:val="00EF6B18"/>
    <w:rsid w:val="00EF757F"/>
    <w:rsid w:val="00F007EE"/>
    <w:rsid w:val="00F01C83"/>
    <w:rsid w:val="00F034BB"/>
    <w:rsid w:val="00F04665"/>
    <w:rsid w:val="00F06DA8"/>
    <w:rsid w:val="00F17E86"/>
    <w:rsid w:val="00F20DF3"/>
    <w:rsid w:val="00F21795"/>
    <w:rsid w:val="00F25DA9"/>
    <w:rsid w:val="00F30772"/>
    <w:rsid w:val="00F30B49"/>
    <w:rsid w:val="00F31840"/>
    <w:rsid w:val="00F31EC6"/>
    <w:rsid w:val="00F33F99"/>
    <w:rsid w:val="00F350D9"/>
    <w:rsid w:val="00F41A7D"/>
    <w:rsid w:val="00F42E33"/>
    <w:rsid w:val="00F43511"/>
    <w:rsid w:val="00F449E4"/>
    <w:rsid w:val="00F50D92"/>
    <w:rsid w:val="00F51F1E"/>
    <w:rsid w:val="00F53236"/>
    <w:rsid w:val="00F54752"/>
    <w:rsid w:val="00F61027"/>
    <w:rsid w:val="00F62E48"/>
    <w:rsid w:val="00F63E1B"/>
    <w:rsid w:val="00F7166A"/>
    <w:rsid w:val="00F71F2F"/>
    <w:rsid w:val="00F74F44"/>
    <w:rsid w:val="00F83300"/>
    <w:rsid w:val="00F9212B"/>
    <w:rsid w:val="00F9296C"/>
    <w:rsid w:val="00F941D4"/>
    <w:rsid w:val="00F94FBD"/>
    <w:rsid w:val="00FA041F"/>
    <w:rsid w:val="00FA560C"/>
    <w:rsid w:val="00FB1825"/>
    <w:rsid w:val="00FB2A71"/>
    <w:rsid w:val="00FB54B6"/>
    <w:rsid w:val="00FB6106"/>
    <w:rsid w:val="00FB632D"/>
    <w:rsid w:val="00FB70F7"/>
    <w:rsid w:val="00FB7648"/>
    <w:rsid w:val="00FB7CCD"/>
    <w:rsid w:val="00FC16BF"/>
    <w:rsid w:val="00FC212F"/>
    <w:rsid w:val="00FC3FC9"/>
    <w:rsid w:val="00FC4355"/>
    <w:rsid w:val="00FC7069"/>
    <w:rsid w:val="00FD3B33"/>
    <w:rsid w:val="00FD46D6"/>
    <w:rsid w:val="00FD5B14"/>
    <w:rsid w:val="00FD7125"/>
    <w:rsid w:val="00FE15D6"/>
    <w:rsid w:val="00FE2108"/>
    <w:rsid w:val="00FE77FB"/>
    <w:rsid w:val="00FE7F7E"/>
    <w:rsid w:val="00FE7FFC"/>
    <w:rsid w:val="00FF7E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C146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aliases w:val="Gambar 4,kepala"/>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aliases w:val="Gambar 4 Char,kepala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1">
    <w:name w:val="Unresolved Mention1"/>
    <w:basedOn w:val="DefaultParagraphFont"/>
    <w:uiPriority w:val="99"/>
    <w:semiHidden/>
    <w:unhideWhenUsed/>
    <w:rsid w:val="000D12FF"/>
    <w:rPr>
      <w:color w:val="605E5C"/>
      <w:shd w:val="clear" w:color="auto" w:fill="E1DFDD"/>
    </w:rPr>
  </w:style>
  <w:style w:type="character" w:customStyle="1" w:styleId="Heading2Char">
    <w:name w:val="Heading 2 Char"/>
    <w:basedOn w:val="DefaultParagraphFont"/>
    <w:link w:val="Heading2"/>
    <w:uiPriority w:val="9"/>
    <w:semiHidden/>
    <w:rsid w:val="006C1464"/>
    <w:rPr>
      <w:rFonts w:asciiTheme="majorHAnsi" w:eastAsiaTheme="majorEastAsia" w:hAnsiTheme="majorHAnsi" w:cstheme="majorBidi"/>
      <w:b/>
      <w:bCs/>
      <w:color w:val="4472C4" w:themeColor="accent1"/>
      <w:sz w:val="26"/>
      <w:szCs w:val="26"/>
      <w:lang w:val="en-US"/>
    </w:rPr>
  </w:style>
  <w:style w:type="paragraph" w:styleId="HTMLPreformatted">
    <w:name w:val="HTML Preformatted"/>
    <w:basedOn w:val="Normal"/>
    <w:link w:val="HTMLPreformattedChar"/>
    <w:uiPriority w:val="99"/>
    <w:semiHidden/>
    <w:unhideWhenUsed/>
    <w:rsid w:val="003D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D5D94"/>
    <w:rPr>
      <w:rFonts w:ascii="Courier New" w:eastAsia="Times New Roman" w:hAnsi="Courier New" w:cs="Courier New"/>
      <w:lang w:eastAsia="en-ID"/>
    </w:rPr>
  </w:style>
  <w:style w:type="paragraph" w:styleId="Caption">
    <w:name w:val="caption"/>
    <w:basedOn w:val="Normal"/>
    <w:next w:val="Normal"/>
    <w:uiPriority w:val="35"/>
    <w:unhideWhenUsed/>
    <w:qFormat/>
    <w:rsid w:val="00C30D36"/>
    <w:pPr>
      <w:spacing w:after="200" w:line="240" w:lineRule="auto"/>
    </w:pPr>
    <w:rPr>
      <w:b/>
      <w:bCs/>
      <w:color w:val="4F81BD"/>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C146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aliases w:val="Gambar 4,kepala"/>
    <w:basedOn w:val="Normal"/>
    <w:link w:val="ListParagraphChar"/>
    <w:uiPriority w:val="34"/>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aliases w:val="Gambar 4 Char,kepala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1">
    <w:name w:val="Unresolved Mention1"/>
    <w:basedOn w:val="DefaultParagraphFont"/>
    <w:uiPriority w:val="99"/>
    <w:semiHidden/>
    <w:unhideWhenUsed/>
    <w:rsid w:val="000D12FF"/>
    <w:rPr>
      <w:color w:val="605E5C"/>
      <w:shd w:val="clear" w:color="auto" w:fill="E1DFDD"/>
    </w:rPr>
  </w:style>
  <w:style w:type="character" w:customStyle="1" w:styleId="Heading2Char">
    <w:name w:val="Heading 2 Char"/>
    <w:basedOn w:val="DefaultParagraphFont"/>
    <w:link w:val="Heading2"/>
    <w:uiPriority w:val="9"/>
    <w:semiHidden/>
    <w:rsid w:val="006C1464"/>
    <w:rPr>
      <w:rFonts w:asciiTheme="majorHAnsi" w:eastAsiaTheme="majorEastAsia" w:hAnsiTheme="majorHAnsi" w:cstheme="majorBidi"/>
      <w:b/>
      <w:bCs/>
      <w:color w:val="4472C4" w:themeColor="accent1"/>
      <w:sz w:val="26"/>
      <w:szCs w:val="26"/>
      <w:lang w:val="en-US"/>
    </w:rPr>
  </w:style>
  <w:style w:type="paragraph" w:styleId="HTMLPreformatted">
    <w:name w:val="HTML Preformatted"/>
    <w:basedOn w:val="Normal"/>
    <w:link w:val="HTMLPreformattedChar"/>
    <w:uiPriority w:val="99"/>
    <w:semiHidden/>
    <w:unhideWhenUsed/>
    <w:rsid w:val="003D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D5D94"/>
    <w:rPr>
      <w:rFonts w:ascii="Courier New" w:eastAsia="Times New Roman" w:hAnsi="Courier New" w:cs="Courier New"/>
      <w:lang w:eastAsia="en-ID"/>
    </w:rPr>
  </w:style>
  <w:style w:type="paragraph" w:styleId="Caption">
    <w:name w:val="caption"/>
    <w:basedOn w:val="Normal"/>
    <w:next w:val="Normal"/>
    <w:uiPriority w:val="35"/>
    <w:unhideWhenUsed/>
    <w:qFormat/>
    <w:rsid w:val="00C30D36"/>
    <w:pPr>
      <w:spacing w:after="200" w:line="240" w:lineRule="auto"/>
    </w:pPr>
    <w:rPr>
      <w:b/>
      <w:bCs/>
      <w:color w:val="4F81BD"/>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5037">
      <w:bodyDiv w:val="1"/>
      <w:marLeft w:val="0"/>
      <w:marRight w:val="0"/>
      <w:marTop w:val="0"/>
      <w:marBottom w:val="0"/>
      <w:divBdr>
        <w:top w:val="none" w:sz="0" w:space="0" w:color="auto"/>
        <w:left w:val="none" w:sz="0" w:space="0" w:color="auto"/>
        <w:bottom w:val="none" w:sz="0" w:space="0" w:color="auto"/>
        <w:right w:val="none" w:sz="0" w:space="0" w:color="auto"/>
      </w:divBdr>
    </w:div>
    <w:div w:id="398677379">
      <w:bodyDiv w:val="1"/>
      <w:marLeft w:val="0"/>
      <w:marRight w:val="0"/>
      <w:marTop w:val="0"/>
      <w:marBottom w:val="0"/>
      <w:divBdr>
        <w:top w:val="none" w:sz="0" w:space="0" w:color="auto"/>
        <w:left w:val="none" w:sz="0" w:space="0" w:color="auto"/>
        <w:bottom w:val="none" w:sz="0" w:space="0" w:color="auto"/>
        <w:right w:val="none" w:sz="0" w:space="0" w:color="auto"/>
      </w:divBdr>
    </w:div>
    <w:div w:id="537856985">
      <w:bodyDiv w:val="1"/>
      <w:marLeft w:val="0"/>
      <w:marRight w:val="0"/>
      <w:marTop w:val="0"/>
      <w:marBottom w:val="0"/>
      <w:divBdr>
        <w:top w:val="none" w:sz="0" w:space="0" w:color="auto"/>
        <w:left w:val="none" w:sz="0" w:space="0" w:color="auto"/>
        <w:bottom w:val="none" w:sz="0" w:space="0" w:color="auto"/>
        <w:right w:val="none" w:sz="0" w:space="0" w:color="auto"/>
      </w:divBdr>
    </w:div>
    <w:div w:id="587883211">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08895314">
      <w:bodyDiv w:val="1"/>
      <w:marLeft w:val="0"/>
      <w:marRight w:val="0"/>
      <w:marTop w:val="0"/>
      <w:marBottom w:val="0"/>
      <w:divBdr>
        <w:top w:val="none" w:sz="0" w:space="0" w:color="auto"/>
        <w:left w:val="none" w:sz="0" w:space="0" w:color="auto"/>
        <w:bottom w:val="none" w:sz="0" w:space="0" w:color="auto"/>
        <w:right w:val="none" w:sz="0" w:space="0" w:color="auto"/>
      </w:divBdr>
      <w:divsChild>
        <w:div w:id="924533505">
          <w:marLeft w:val="0"/>
          <w:marRight w:val="0"/>
          <w:marTop w:val="0"/>
          <w:marBottom w:val="0"/>
          <w:divBdr>
            <w:top w:val="none" w:sz="0" w:space="0" w:color="auto"/>
            <w:left w:val="none" w:sz="0" w:space="0" w:color="auto"/>
            <w:bottom w:val="none" w:sz="0" w:space="0" w:color="auto"/>
            <w:right w:val="none" w:sz="0" w:space="0" w:color="auto"/>
          </w:divBdr>
        </w:div>
        <w:div w:id="573013088">
          <w:marLeft w:val="0"/>
          <w:marRight w:val="0"/>
          <w:marTop w:val="0"/>
          <w:marBottom w:val="0"/>
          <w:divBdr>
            <w:top w:val="none" w:sz="0" w:space="0" w:color="auto"/>
            <w:left w:val="none" w:sz="0" w:space="0" w:color="auto"/>
            <w:bottom w:val="none" w:sz="0" w:space="0" w:color="auto"/>
            <w:right w:val="none" w:sz="0" w:space="0" w:color="auto"/>
          </w:divBdr>
        </w:div>
        <w:div w:id="703793723">
          <w:marLeft w:val="0"/>
          <w:marRight w:val="0"/>
          <w:marTop w:val="0"/>
          <w:marBottom w:val="0"/>
          <w:divBdr>
            <w:top w:val="none" w:sz="0" w:space="0" w:color="auto"/>
            <w:left w:val="none" w:sz="0" w:space="0" w:color="auto"/>
            <w:bottom w:val="none" w:sz="0" w:space="0" w:color="auto"/>
            <w:right w:val="none" w:sz="0" w:space="0" w:color="auto"/>
          </w:divBdr>
        </w:div>
        <w:div w:id="1443523">
          <w:marLeft w:val="0"/>
          <w:marRight w:val="0"/>
          <w:marTop w:val="0"/>
          <w:marBottom w:val="0"/>
          <w:divBdr>
            <w:top w:val="none" w:sz="0" w:space="0" w:color="auto"/>
            <w:left w:val="none" w:sz="0" w:space="0" w:color="auto"/>
            <w:bottom w:val="none" w:sz="0" w:space="0" w:color="auto"/>
            <w:right w:val="none" w:sz="0" w:space="0" w:color="auto"/>
          </w:divBdr>
        </w:div>
        <w:div w:id="1830561802">
          <w:marLeft w:val="0"/>
          <w:marRight w:val="0"/>
          <w:marTop w:val="0"/>
          <w:marBottom w:val="0"/>
          <w:divBdr>
            <w:top w:val="none" w:sz="0" w:space="0" w:color="auto"/>
            <w:left w:val="none" w:sz="0" w:space="0" w:color="auto"/>
            <w:bottom w:val="none" w:sz="0" w:space="0" w:color="auto"/>
            <w:right w:val="none" w:sz="0" w:space="0" w:color="auto"/>
          </w:divBdr>
        </w:div>
        <w:div w:id="501549189">
          <w:marLeft w:val="0"/>
          <w:marRight w:val="0"/>
          <w:marTop w:val="0"/>
          <w:marBottom w:val="0"/>
          <w:divBdr>
            <w:top w:val="none" w:sz="0" w:space="0" w:color="auto"/>
            <w:left w:val="none" w:sz="0" w:space="0" w:color="auto"/>
            <w:bottom w:val="none" w:sz="0" w:space="0" w:color="auto"/>
            <w:right w:val="none" w:sz="0" w:space="0" w:color="auto"/>
          </w:divBdr>
        </w:div>
        <w:div w:id="1622566303">
          <w:marLeft w:val="0"/>
          <w:marRight w:val="0"/>
          <w:marTop w:val="0"/>
          <w:marBottom w:val="0"/>
          <w:divBdr>
            <w:top w:val="none" w:sz="0" w:space="0" w:color="auto"/>
            <w:left w:val="none" w:sz="0" w:space="0" w:color="auto"/>
            <w:bottom w:val="none" w:sz="0" w:space="0" w:color="auto"/>
            <w:right w:val="none" w:sz="0" w:space="0" w:color="auto"/>
          </w:divBdr>
        </w:div>
      </w:divsChild>
    </w:div>
    <w:div w:id="664627620">
      <w:bodyDiv w:val="1"/>
      <w:marLeft w:val="0"/>
      <w:marRight w:val="0"/>
      <w:marTop w:val="0"/>
      <w:marBottom w:val="0"/>
      <w:divBdr>
        <w:top w:val="none" w:sz="0" w:space="0" w:color="auto"/>
        <w:left w:val="none" w:sz="0" w:space="0" w:color="auto"/>
        <w:bottom w:val="none" w:sz="0" w:space="0" w:color="auto"/>
        <w:right w:val="none" w:sz="0" w:space="0" w:color="auto"/>
      </w:divBdr>
    </w:div>
    <w:div w:id="944268541">
      <w:bodyDiv w:val="1"/>
      <w:marLeft w:val="0"/>
      <w:marRight w:val="0"/>
      <w:marTop w:val="0"/>
      <w:marBottom w:val="0"/>
      <w:divBdr>
        <w:top w:val="none" w:sz="0" w:space="0" w:color="auto"/>
        <w:left w:val="none" w:sz="0" w:space="0" w:color="auto"/>
        <w:bottom w:val="none" w:sz="0" w:space="0" w:color="auto"/>
        <w:right w:val="none" w:sz="0" w:space="0" w:color="auto"/>
      </w:divBdr>
    </w:div>
    <w:div w:id="1082340282">
      <w:bodyDiv w:val="1"/>
      <w:marLeft w:val="0"/>
      <w:marRight w:val="0"/>
      <w:marTop w:val="0"/>
      <w:marBottom w:val="0"/>
      <w:divBdr>
        <w:top w:val="none" w:sz="0" w:space="0" w:color="auto"/>
        <w:left w:val="none" w:sz="0" w:space="0" w:color="auto"/>
        <w:bottom w:val="none" w:sz="0" w:space="0" w:color="auto"/>
        <w:right w:val="none" w:sz="0" w:space="0" w:color="auto"/>
      </w:divBdr>
    </w:div>
    <w:div w:id="1100905309">
      <w:bodyDiv w:val="1"/>
      <w:marLeft w:val="0"/>
      <w:marRight w:val="0"/>
      <w:marTop w:val="0"/>
      <w:marBottom w:val="0"/>
      <w:divBdr>
        <w:top w:val="none" w:sz="0" w:space="0" w:color="auto"/>
        <w:left w:val="none" w:sz="0" w:space="0" w:color="auto"/>
        <w:bottom w:val="none" w:sz="0" w:space="0" w:color="auto"/>
        <w:right w:val="none" w:sz="0" w:space="0" w:color="auto"/>
      </w:divBdr>
    </w:div>
    <w:div w:id="1135563371">
      <w:bodyDiv w:val="1"/>
      <w:marLeft w:val="0"/>
      <w:marRight w:val="0"/>
      <w:marTop w:val="0"/>
      <w:marBottom w:val="0"/>
      <w:divBdr>
        <w:top w:val="none" w:sz="0" w:space="0" w:color="auto"/>
        <w:left w:val="none" w:sz="0" w:space="0" w:color="auto"/>
        <w:bottom w:val="none" w:sz="0" w:space="0" w:color="auto"/>
        <w:right w:val="none" w:sz="0" w:space="0" w:color="auto"/>
      </w:divBdr>
    </w:div>
    <w:div w:id="1220945316">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1289122356">
      <w:bodyDiv w:val="1"/>
      <w:marLeft w:val="0"/>
      <w:marRight w:val="0"/>
      <w:marTop w:val="0"/>
      <w:marBottom w:val="0"/>
      <w:divBdr>
        <w:top w:val="none" w:sz="0" w:space="0" w:color="auto"/>
        <w:left w:val="none" w:sz="0" w:space="0" w:color="auto"/>
        <w:bottom w:val="none" w:sz="0" w:space="0" w:color="auto"/>
        <w:right w:val="none" w:sz="0" w:space="0" w:color="auto"/>
      </w:divBdr>
    </w:div>
    <w:div w:id="1309358326">
      <w:bodyDiv w:val="1"/>
      <w:marLeft w:val="0"/>
      <w:marRight w:val="0"/>
      <w:marTop w:val="0"/>
      <w:marBottom w:val="0"/>
      <w:divBdr>
        <w:top w:val="none" w:sz="0" w:space="0" w:color="auto"/>
        <w:left w:val="none" w:sz="0" w:space="0" w:color="auto"/>
        <w:bottom w:val="none" w:sz="0" w:space="0" w:color="auto"/>
        <w:right w:val="none" w:sz="0" w:space="0" w:color="auto"/>
      </w:divBdr>
    </w:div>
    <w:div w:id="1521166859">
      <w:bodyDiv w:val="1"/>
      <w:marLeft w:val="0"/>
      <w:marRight w:val="0"/>
      <w:marTop w:val="0"/>
      <w:marBottom w:val="0"/>
      <w:divBdr>
        <w:top w:val="none" w:sz="0" w:space="0" w:color="auto"/>
        <w:left w:val="none" w:sz="0" w:space="0" w:color="auto"/>
        <w:bottom w:val="none" w:sz="0" w:space="0" w:color="auto"/>
        <w:right w:val="none" w:sz="0" w:space="0" w:color="auto"/>
      </w:divBdr>
    </w:div>
    <w:div w:id="1524396176">
      <w:bodyDiv w:val="1"/>
      <w:marLeft w:val="0"/>
      <w:marRight w:val="0"/>
      <w:marTop w:val="0"/>
      <w:marBottom w:val="0"/>
      <w:divBdr>
        <w:top w:val="none" w:sz="0" w:space="0" w:color="auto"/>
        <w:left w:val="none" w:sz="0" w:space="0" w:color="auto"/>
        <w:bottom w:val="none" w:sz="0" w:space="0" w:color="auto"/>
        <w:right w:val="none" w:sz="0" w:space="0" w:color="auto"/>
      </w:divBdr>
    </w:div>
    <w:div w:id="1636521949">
      <w:bodyDiv w:val="1"/>
      <w:marLeft w:val="0"/>
      <w:marRight w:val="0"/>
      <w:marTop w:val="0"/>
      <w:marBottom w:val="0"/>
      <w:divBdr>
        <w:top w:val="none" w:sz="0" w:space="0" w:color="auto"/>
        <w:left w:val="none" w:sz="0" w:space="0" w:color="auto"/>
        <w:bottom w:val="none" w:sz="0" w:space="0" w:color="auto"/>
        <w:right w:val="none" w:sz="0" w:space="0" w:color="auto"/>
      </w:divBdr>
    </w:div>
    <w:div w:id="1943951611">
      <w:bodyDiv w:val="1"/>
      <w:marLeft w:val="0"/>
      <w:marRight w:val="0"/>
      <w:marTop w:val="0"/>
      <w:marBottom w:val="0"/>
      <w:divBdr>
        <w:top w:val="none" w:sz="0" w:space="0" w:color="auto"/>
        <w:left w:val="none" w:sz="0" w:space="0" w:color="auto"/>
        <w:bottom w:val="none" w:sz="0" w:space="0" w:color="auto"/>
        <w:right w:val="none" w:sz="0" w:space="0" w:color="auto"/>
      </w:divBdr>
    </w:div>
    <w:div w:id="2014991465">
      <w:bodyDiv w:val="1"/>
      <w:marLeft w:val="0"/>
      <w:marRight w:val="0"/>
      <w:marTop w:val="0"/>
      <w:marBottom w:val="0"/>
      <w:divBdr>
        <w:top w:val="none" w:sz="0" w:space="0" w:color="auto"/>
        <w:left w:val="none" w:sz="0" w:space="0" w:color="auto"/>
        <w:bottom w:val="none" w:sz="0" w:space="0" w:color="auto"/>
        <w:right w:val="none" w:sz="0" w:space="0" w:color="auto"/>
      </w:divBdr>
    </w:div>
    <w:div w:id="2094930223">
      <w:bodyDiv w:val="1"/>
      <w:marLeft w:val="0"/>
      <w:marRight w:val="0"/>
      <w:marTop w:val="0"/>
      <w:marBottom w:val="0"/>
      <w:divBdr>
        <w:top w:val="none" w:sz="0" w:space="0" w:color="auto"/>
        <w:left w:val="none" w:sz="0" w:space="0" w:color="auto"/>
        <w:bottom w:val="none" w:sz="0" w:space="0" w:color="auto"/>
        <w:right w:val="none" w:sz="0" w:space="0" w:color="auto"/>
      </w:divBdr>
    </w:div>
    <w:div w:id="21018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teknik.unisla.ac.id/index.php/CVL"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doi:%20https://doi.org/10.30736/cvl.v2i2" TargetMode="External"/><Relationship Id="rId17" Type="http://schemas.openxmlformats.org/officeDocument/2006/relationships/hyperlink" Target="https://creativecommons.org/licenses/by-sa/4.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doi:%20https://doi.org/10.30736/cvl.v2i2" TargetMode="External"/><Relationship Id="rId23" Type="http://schemas.openxmlformats.org/officeDocument/2006/relationships/theme" Target="theme/theme1.xml"/><Relationship Id="rId10" Type="http://schemas.openxmlformats.org/officeDocument/2006/relationships/hyperlink" Target="https://jurnalteknik.unisla.ac.id/index.php/CVL"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esis\rita%20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NIVERSITAS%20FAJAR\03_PAPER%20FOR%20SEMINAR%20DAN%20JURNAL\03_JURNAL\JURNAL%20NASIONAL\CIVILLA\Analisis%20Di%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NIVERSITAS%20FAJAR\03_PAPER%20FOR%20SEMINAR%20DAN%20JURNAL\03_JURNAL\JURNAL%20NASIONAL\CIVILLA\Analisis%20Di%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5237912496207"/>
          <c:y val="9.7581291921843102E-2"/>
          <c:w val="0.81070242825761096"/>
          <c:h val="0.68826735199766698"/>
        </c:manualLayout>
      </c:layout>
      <c:barChart>
        <c:barDir val="col"/>
        <c:grouping val="clustered"/>
        <c:varyColors val="0"/>
        <c:ser>
          <c:idx val="0"/>
          <c:order val="0"/>
          <c:spPr>
            <a:pattFill prst="narVert">
              <a:fgClr>
                <a:schemeClr val="tx1"/>
              </a:fgClr>
              <a:bgClr>
                <a:schemeClr val="accent4">
                  <a:lumMod val="60000"/>
                  <a:lumOff val="40000"/>
                </a:schemeClr>
              </a:bgClr>
            </a:pattFill>
            <a:ln w="15875">
              <a:solidFill>
                <a:schemeClr val="tx1"/>
              </a:solidFill>
            </a:ln>
          </c:spPr>
          <c:invertIfNegative val="0"/>
          <c:cat>
            <c:strRef>
              <c:f>Workability!$K$5:$K$9</c:f>
              <c:strCache>
                <c:ptCount val="5"/>
                <c:pt idx="0">
                  <c:v>11M</c:v>
                </c:pt>
                <c:pt idx="1">
                  <c:v>12M</c:v>
                </c:pt>
                <c:pt idx="2">
                  <c:v>13M</c:v>
                </c:pt>
                <c:pt idx="3">
                  <c:v>14M</c:v>
                </c:pt>
                <c:pt idx="4">
                  <c:v>15M</c:v>
                </c:pt>
              </c:strCache>
            </c:strRef>
          </c:cat>
          <c:val>
            <c:numRef>
              <c:f>Workability!$L$5:$L$9</c:f>
              <c:numCache>
                <c:formatCode>0.00</c:formatCode>
                <c:ptCount val="5"/>
                <c:pt idx="0">
                  <c:v>750</c:v>
                </c:pt>
                <c:pt idx="1">
                  <c:v>710</c:v>
                </c:pt>
                <c:pt idx="2">
                  <c:v>693.33333333333337</c:v>
                </c:pt>
                <c:pt idx="3">
                  <c:v>610</c:v>
                </c:pt>
                <c:pt idx="4">
                  <c:v>576.66666666666663</c:v>
                </c:pt>
              </c:numCache>
            </c:numRef>
          </c:val>
          <c:extLst xmlns:c16r2="http://schemas.microsoft.com/office/drawing/2015/06/chart">
            <c:ext xmlns:c16="http://schemas.microsoft.com/office/drawing/2014/chart" uri="{C3380CC4-5D6E-409C-BE32-E72D297353CC}">
              <c16:uniqueId val="{00000000-C50F-46FC-8862-8751B1028F3C}"/>
            </c:ext>
          </c:extLst>
        </c:ser>
        <c:dLbls>
          <c:showLegendKey val="0"/>
          <c:showVal val="0"/>
          <c:showCatName val="0"/>
          <c:showSerName val="0"/>
          <c:showPercent val="0"/>
          <c:showBubbleSize val="0"/>
        </c:dLbls>
        <c:gapWidth val="150"/>
        <c:axId val="183353728"/>
        <c:axId val="183355648"/>
      </c:barChart>
      <c:catAx>
        <c:axId val="183353728"/>
        <c:scaling>
          <c:orientation val="minMax"/>
        </c:scaling>
        <c:delete val="0"/>
        <c:axPos val="b"/>
        <c:title>
          <c:tx>
            <c:rich>
              <a:bodyPr/>
              <a:lstStyle/>
              <a:p>
                <a:pPr>
                  <a:defRPr/>
                </a:pPr>
                <a:r>
                  <a:rPr lang="en-US"/>
                  <a:t>Molarity Variation </a:t>
                </a:r>
                <a:endParaRPr lang="id-ID"/>
              </a:p>
            </c:rich>
          </c:tx>
          <c:overlay val="0"/>
        </c:title>
        <c:numFmt formatCode="General" sourceLinked="0"/>
        <c:majorTickMark val="none"/>
        <c:minorTickMark val="none"/>
        <c:tickLblPos val="nextTo"/>
        <c:crossAx val="183355648"/>
        <c:crosses val="autoZero"/>
        <c:auto val="1"/>
        <c:lblAlgn val="ctr"/>
        <c:lblOffset val="100"/>
        <c:noMultiLvlLbl val="0"/>
      </c:catAx>
      <c:valAx>
        <c:axId val="183355648"/>
        <c:scaling>
          <c:orientation val="minMax"/>
        </c:scaling>
        <c:delete val="0"/>
        <c:axPos val="l"/>
        <c:majorGridlines/>
        <c:title>
          <c:tx>
            <c:rich>
              <a:bodyPr/>
              <a:lstStyle/>
              <a:p>
                <a:pPr>
                  <a:defRPr/>
                </a:pPr>
                <a:r>
                  <a:rPr lang="id-ID"/>
                  <a:t>Slump Flow (mm)</a:t>
                </a:r>
              </a:p>
            </c:rich>
          </c:tx>
          <c:layout>
            <c:manualLayout>
              <c:xMode val="edge"/>
              <c:yMode val="edge"/>
              <c:x val="1.0561251841747518E-2"/>
              <c:y val="0.18760830571854192"/>
            </c:manualLayout>
          </c:layout>
          <c:overlay val="0"/>
        </c:title>
        <c:numFmt formatCode="0" sourceLinked="0"/>
        <c:majorTickMark val="out"/>
        <c:minorTickMark val="none"/>
        <c:tickLblPos val="nextTo"/>
        <c:crossAx val="183353728"/>
        <c:crosses val="autoZero"/>
        <c:crossBetween val="between"/>
        <c:majorUnit val="200"/>
      </c:valAx>
      <c:spPr>
        <a:ln w="12700">
          <a:solidFill>
            <a:schemeClr val="tx1"/>
          </a:solidFill>
        </a:ln>
      </c:spPr>
    </c:plotArea>
    <c:plotVisOnly val="1"/>
    <c:dispBlanksAs val="gap"/>
    <c:showDLblsOverMax val="0"/>
  </c:chart>
  <c:txPr>
    <a:bodyPr/>
    <a:lstStyle/>
    <a:p>
      <a:pPr>
        <a:defRPr sz="1200" b="0">
          <a:ln>
            <a:noFill/>
          </a:ln>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56998107794665"/>
          <c:y val="4.4176706827309238E-2"/>
          <c:w val="0.86810108038820732"/>
          <c:h val="0.77749675868829649"/>
        </c:manualLayout>
      </c:layout>
      <c:barChart>
        <c:barDir val="col"/>
        <c:grouping val="clustered"/>
        <c:varyColors val="0"/>
        <c:ser>
          <c:idx val="0"/>
          <c:order val="0"/>
          <c:tx>
            <c:v>air-cured SCGC</c:v>
          </c:tx>
          <c:spPr>
            <a:pattFill prst="ltVert">
              <a:fgClr>
                <a:schemeClr val="accent1"/>
              </a:fgClr>
              <a:bgClr>
                <a:srgbClr val="FFFF0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Sheet1!$J$7:$J$11</c:f>
              <c:numCache>
                <c:formatCode>General</c:formatCode>
                <c:ptCount val="5"/>
                <c:pt idx="0">
                  <c:v>34.15</c:v>
                </c:pt>
                <c:pt idx="1">
                  <c:v>38.82</c:v>
                </c:pt>
                <c:pt idx="2">
                  <c:v>44.12</c:v>
                </c:pt>
                <c:pt idx="3">
                  <c:v>36.74</c:v>
                </c:pt>
                <c:pt idx="4">
                  <c:v>31.01</c:v>
                </c:pt>
              </c:numCache>
            </c:numRef>
          </c:val>
          <c:extLst xmlns:c16r2="http://schemas.microsoft.com/office/drawing/2015/06/chart">
            <c:ext xmlns:c16="http://schemas.microsoft.com/office/drawing/2014/chart" uri="{C3380CC4-5D6E-409C-BE32-E72D297353CC}">
              <c16:uniqueId val="{00000000-C1D7-41EF-BFD3-D895DB272E37}"/>
            </c:ext>
          </c:extLst>
        </c:ser>
        <c:ser>
          <c:idx val="1"/>
          <c:order val="1"/>
          <c:tx>
            <c:v>seawater-cured SCGC</c:v>
          </c:tx>
          <c:spPr>
            <a:pattFill prst="lgGrid">
              <a:fgClr>
                <a:schemeClr val="tx1"/>
              </a:fgClr>
              <a:bgClr>
                <a:srgbClr val="92D05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Sheet1!$K$7:$K$11</c:f>
              <c:numCache>
                <c:formatCode>General</c:formatCode>
                <c:ptCount val="5"/>
                <c:pt idx="0">
                  <c:v>19.09</c:v>
                </c:pt>
                <c:pt idx="1">
                  <c:v>23.55</c:v>
                </c:pt>
                <c:pt idx="2">
                  <c:v>30.76</c:v>
                </c:pt>
                <c:pt idx="3">
                  <c:v>31.82</c:v>
                </c:pt>
                <c:pt idx="4">
                  <c:v>33.090000000000003</c:v>
                </c:pt>
              </c:numCache>
            </c:numRef>
          </c:val>
          <c:extLst xmlns:c16r2="http://schemas.microsoft.com/office/drawing/2015/06/chart">
            <c:ext xmlns:c16="http://schemas.microsoft.com/office/drawing/2014/chart" uri="{C3380CC4-5D6E-409C-BE32-E72D297353CC}">
              <c16:uniqueId val="{00000001-C1D7-41EF-BFD3-D895DB272E37}"/>
            </c:ext>
          </c:extLst>
        </c:ser>
        <c:dLbls>
          <c:showLegendKey val="0"/>
          <c:showVal val="0"/>
          <c:showCatName val="0"/>
          <c:showSerName val="0"/>
          <c:showPercent val="0"/>
          <c:showBubbleSize val="0"/>
        </c:dLbls>
        <c:gapWidth val="150"/>
        <c:axId val="183570432"/>
        <c:axId val="183572352"/>
      </c:barChart>
      <c:catAx>
        <c:axId val="183570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Activator</a:t>
                </a:r>
                <a:r>
                  <a:rPr lang="en-US" baseline="0"/>
                  <a:t> </a:t>
                </a:r>
                <a:r>
                  <a:rPr lang="en-US"/>
                  <a:t>Molarity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3572352"/>
        <c:crosses val="autoZero"/>
        <c:auto val="1"/>
        <c:lblAlgn val="ctr"/>
        <c:lblOffset val="100"/>
        <c:noMultiLvlLbl val="0"/>
      </c:catAx>
      <c:valAx>
        <c:axId val="183572352"/>
        <c:scaling>
          <c:orientation val="minMax"/>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3570432"/>
        <c:crosses val="autoZero"/>
        <c:crossBetween val="between"/>
      </c:valAx>
      <c:spPr>
        <a:noFill/>
        <a:ln>
          <a:noFill/>
        </a:ln>
        <a:effectLst/>
      </c:spPr>
    </c:plotArea>
    <c:legend>
      <c:legendPos val="r"/>
      <c:layout>
        <c:manualLayout>
          <c:xMode val="edge"/>
          <c:yMode val="edge"/>
          <c:x val="0.26778021933304846"/>
          <c:y val="2.213551707786891E-2"/>
          <c:w val="0.71521007548475057"/>
          <c:h val="0.13554311735129496"/>
        </c:manualLayout>
      </c:layout>
      <c:overlay val="0"/>
      <c:spPr>
        <a:solidFill>
          <a:schemeClr val="bg1"/>
        </a:solid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76483681589271"/>
          <c:y val="4.3781080806649962E-2"/>
          <c:w val="0.87197610899344291"/>
          <c:h val="0.77948939413502749"/>
        </c:manualLayout>
      </c:layout>
      <c:barChart>
        <c:barDir val="col"/>
        <c:grouping val="clustered"/>
        <c:varyColors val="0"/>
        <c:ser>
          <c:idx val="0"/>
          <c:order val="0"/>
          <c:tx>
            <c:v>Air-cured SCGC</c:v>
          </c:tx>
          <c:spPr>
            <a:pattFill prst="wdUpDiag">
              <a:fgClr>
                <a:schemeClr val="tx1"/>
              </a:fgClr>
              <a:bgClr>
                <a:srgbClr val="FFFF00"/>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Sheet1!$M$7:$M$11</c:f>
              <c:numCache>
                <c:formatCode>General</c:formatCode>
                <c:ptCount val="5"/>
                <c:pt idx="0">
                  <c:v>3.5</c:v>
                </c:pt>
                <c:pt idx="1">
                  <c:v>3.58</c:v>
                </c:pt>
                <c:pt idx="2">
                  <c:v>3.83</c:v>
                </c:pt>
                <c:pt idx="3">
                  <c:v>3.61</c:v>
                </c:pt>
                <c:pt idx="4">
                  <c:v>3.33</c:v>
                </c:pt>
              </c:numCache>
            </c:numRef>
          </c:val>
          <c:extLst xmlns:c16r2="http://schemas.microsoft.com/office/drawing/2015/06/chart">
            <c:ext xmlns:c16="http://schemas.microsoft.com/office/drawing/2014/chart" uri="{C3380CC4-5D6E-409C-BE32-E72D297353CC}">
              <c16:uniqueId val="{00000000-E13D-4FB2-BA42-A34A1E439D66}"/>
            </c:ext>
          </c:extLst>
        </c:ser>
        <c:ser>
          <c:idx val="1"/>
          <c:order val="1"/>
          <c:tx>
            <c:v>Seawater-cured SCGC</c:v>
          </c:tx>
          <c:spPr>
            <a:pattFill prst="diagBrick">
              <a:fgClr>
                <a:schemeClr val="tx1"/>
              </a:fgClr>
              <a:bgClr>
                <a:srgbClr val="A5FA66"/>
              </a:bgClr>
            </a:pattFill>
            <a:ln w="15875">
              <a:solidFill>
                <a:schemeClr val="tx1"/>
              </a:solidFill>
            </a:ln>
            <a:effectLst/>
          </c:spPr>
          <c:invertIfNegative val="0"/>
          <c:cat>
            <c:numRef>
              <c:f>Sheet1!$I$7:$I$11</c:f>
              <c:numCache>
                <c:formatCode>General</c:formatCode>
                <c:ptCount val="5"/>
                <c:pt idx="0">
                  <c:v>11</c:v>
                </c:pt>
                <c:pt idx="1">
                  <c:v>12</c:v>
                </c:pt>
                <c:pt idx="2">
                  <c:v>13</c:v>
                </c:pt>
                <c:pt idx="3">
                  <c:v>14</c:v>
                </c:pt>
                <c:pt idx="4">
                  <c:v>15</c:v>
                </c:pt>
              </c:numCache>
            </c:numRef>
          </c:cat>
          <c:val>
            <c:numRef>
              <c:f>Sheet1!$N$7:$N$11</c:f>
              <c:numCache>
                <c:formatCode>General</c:formatCode>
                <c:ptCount val="5"/>
                <c:pt idx="0">
                  <c:v>2.27</c:v>
                </c:pt>
                <c:pt idx="1">
                  <c:v>2.9</c:v>
                </c:pt>
                <c:pt idx="2">
                  <c:v>3.49</c:v>
                </c:pt>
                <c:pt idx="3">
                  <c:v>3.7</c:v>
                </c:pt>
                <c:pt idx="4">
                  <c:v>3.75</c:v>
                </c:pt>
              </c:numCache>
            </c:numRef>
          </c:val>
          <c:extLst xmlns:c16r2="http://schemas.microsoft.com/office/drawing/2015/06/chart">
            <c:ext xmlns:c16="http://schemas.microsoft.com/office/drawing/2014/chart" uri="{C3380CC4-5D6E-409C-BE32-E72D297353CC}">
              <c16:uniqueId val="{00000001-E13D-4FB2-BA42-A34A1E439D66}"/>
            </c:ext>
          </c:extLst>
        </c:ser>
        <c:dLbls>
          <c:showLegendKey val="0"/>
          <c:showVal val="0"/>
          <c:showCatName val="0"/>
          <c:showSerName val="0"/>
          <c:showPercent val="0"/>
          <c:showBubbleSize val="0"/>
        </c:dLbls>
        <c:gapWidth val="150"/>
        <c:axId val="183591296"/>
        <c:axId val="183593216"/>
      </c:barChart>
      <c:catAx>
        <c:axId val="1835912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Molarity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3593216"/>
        <c:crosses val="autoZero"/>
        <c:auto val="1"/>
        <c:lblAlgn val="ctr"/>
        <c:lblOffset val="100"/>
        <c:noMultiLvlLbl val="0"/>
      </c:catAx>
      <c:valAx>
        <c:axId val="183593216"/>
        <c:scaling>
          <c:orientation val="minMax"/>
          <c:max val="4.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Split Tensile  Strength (MPa)</a:t>
                </a:r>
              </a:p>
            </c:rich>
          </c:tx>
          <c:layout>
            <c:manualLayout>
              <c:xMode val="edge"/>
              <c:yMode val="edge"/>
              <c:x val="4.9085890125803236E-3"/>
              <c:y val="0.158367797483258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83591296"/>
        <c:crosses val="autoZero"/>
        <c:crossBetween val="between"/>
        <c:majorUnit val="1"/>
      </c:valAx>
      <c:spPr>
        <a:noFill/>
        <a:ln>
          <a:noFill/>
        </a:ln>
        <a:effectLst/>
      </c:spPr>
    </c:plotArea>
    <c:legend>
      <c:legendPos val="r"/>
      <c:layout>
        <c:manualLayout>
          <c:xMode val="edge"/>
          <c:yMode val="edge"/>
          <c:x val="0.30765142873041929"/>
          <c:y val="3.0845448083849075E-2"/>
          <c:w val="0.67114715784201895"/>
          <c:h val="9.1594319940776658E-2"/>
        </c:manualLayout>
      </c:layout>
      <c:overlay val="0"/>
      <c:spPr>
        <a:solidFill>
          <a:schemeClr val="bg1"/>
        </a:solid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5BC12EF4-B804-40A7-BA82-D50614FD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10861</Words>
  <Characters>61911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72627</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USER</cp:lastModifiedBy>
  <cp:revision>2</cp:revision>
  <cp:lastPrinted>2020-06-16T12:28:00Z</cp:lastPrinted>
  <dcterms:created xsi:type="dcterms:W3CDTF">2021-10-13T01:40:00Z</dcterms:created>
  <dcterms:modified xsi:type="dcterms:W3CDTF">2021-10-13T01:40:00Z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84d3f607-d1a2-391d-894a-8e7ed859342a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http://www.zotero.org/styles/case-studies-in-construction-materials</vt:lpwstr>
  </property>
  <property fmtid="{D5CDD505-2E9C-101B-9397-08002B2CF9AE}" pid="10" name="Mendeley Recent Style Name 2_1">
    <vt:lpwstr>Case Studies in Construction Materials</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http://www.zotero.org/styles/journal-of-materials-research-and-technology</vt:lpwstr>
  </property>
  <property fmtid="{D5CDD505-2E9C-101B-9397-08002B2CF9AE}" pid="16" name="Mendeley Recent Style Name 5_1">
    <vt:lpwstr>Journal of Materials Research and Technology</vt:lpwstr>
  </property>
  <property fmtid="{D5CDD505-2E9C-101B-9397-08002B2CF9AE}" pid="17" name="Mendeley Recent Style Id 6_1">
    <vt:lpwstr>http://www.zotero.org/styles/materials-letters</vt:lpwstr>
  </property>
  <property fmtid="{D5CDD505-2E9C-101B-9397-08002B2CF9AE}" pid="18" name="Mendeley Recent Style Name 6_1">
    <vt:lpwstr>Materials Letters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